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5AD29" w14:textId="77777777" w:rsidR="00DC4434" w:rsidRDefault="00DC4434" w:rsidP="00DC4434">
      <w:pPr>
        <w:pStyle w:val="Textfrontpage"/>
      </w:pPr>
      <w:bookmarkStart w:id="0" w:name="_Hlk57279186"/>
      <w:r w:rsidRPr="000A55F5">
        <w:t>Information regarding the requirements of the Pressure Equipment Directive 2014/68/EU</w:t>
      </w:r>
      <w:r>
        <w:t xml:space="preserve"> and In Service Inspection</w:t>
      </w:r>
    </w:p>
    <w:p w14:paraId="0180C48E" w14:textId="77777777" w:rsidR="00DC4434" w:rsidRPr="000A55F5" w:rsidRDefault="00DC4434" w:rsidP="00DC4434">
      <w:pPr>
        <w:pStyle w:val="Textfrontpage"/>
      </w:pPr>
    </w:p>
    <w:p w14:paraId="44013A14" w14:textId="77777777" w:rsidR="00DC4434" w:rsidRPr="000A55F5" w:rsidRDefault="00DC4434" w:rsidP="00DC4434">
      <w:pPr>
        <w:pStyle w:val="Textfrontpage"/>
      </w:pPr>
      <w:r w:rsidRPr="000A55F5">
        <w:t xml:space="preserve">Dovre Sertifisering AS </w:t>
      </w:r>
    </w:p>
    <w:p w14:paraId="7E1DD779" w14:textId="77777777" w:rsidR="00DC4434" w:rsidRDefault="00DC4434" w:rsidP="00DC4434">
      <w:pPr>
        <w:pStyle w:val="Textfrontpage"/>
      </w:pPr>
      <w:r>
        <w:t>GUIDELINE</w:t>
      </w:r>
    </w:p>
    <w:p w14:paraId="59E029D4" w14:textId="77777777" w:rsidR="00DC4434" w:rsidRDefault="00DC4434" w:rsidP="00DC4434">
      <w:pPr>
        <w:pStyle w:val="Undertittel"/>
        <w:rPr>
          <w:rFonts w:asciiTheme="minorHAnsi" w:hAnsiTheme="minorHAnsi" w:cstheme="minorHAnsi"/>
          <w:szCs w:val="24"/>
          <w:lang w:val="en-GB"/>
        </w:rPr>
      </w:pPr>
      <w:r w:rsidRPr="001009F5">
        <w:rPr>
          <w:szCs w:val="24"/>
          <w:lang w:val="en-GB"/>
        </w:rPr>
        <w:t xml:space="preserve">GL-DSE-2020-009 </w:t>
      </w:r>
      <w:bookmarkEnd w:id="0"/>
      <w:r w:rsidRPr="001009F5">
        <w:rPr>
          <w:rFonts w:asciiTheme="minorHAnsi" w:hAnsiTheme="minorHAnsi" w:cstheme="minorHAnsi"/>
          <w:szCs w:val="24"/>
          <w:lang w:val="en-GB"/>
        </w:rPr>
        <w:t>use of</w:t>
      </w:r>
      <w:r>
        <w:rPr>
          <w:rFonts w:asciiTheme="minorHAnsi" w:hAnsiTheme="minorHAnsi" w:cstheme="minorHAnsi"/>
          <w:szCs w:val="24"/>
          <w:lang w:val="en-GB"/>
        </w:rPr>
        <w:t xml:space="preserve"> a KeyLock system for</w:t>
      </w:r>
      <w:r w:rsidRPr="001009F5">
        <w:rPr>
          <w:rFonts w:asciiTheme="minorHAnsi" w:hAnsiTheme="minorHAnsi" w:cstheme="minorHAnsi"/>
          <w:szCs w:val="24"/>
          <w:lang w:val="en-GB"/>
        </w:rPr>
        <w:t xml:space="preserve"> isolating a safety </w:t>
      </w:r>
      <w:r>
        <w:rPr>
          <w:rFonts w:asciiTheme="minorHAnsi" w:hAnsiTheme="minorHAnsi" w:cstheme="minorHAnsi"/>
          <w:szCs w:val="24"/>
          <w:lang w:val="en-GB"/>
        </w:rPr>
        <w:t>valve</w:t>
      </w:r>
    </w:p>
    <w:p w14:paraId="07B18103" w14:textId="77777777" w:rsidR="00DC4434" w:rsidRDefault="00DC4434" w:rsidP="00DC4434">
      <w:pPr>
        <w:rPr>
          <w:lang w:val="en-GB"/>
        </w:rPr>
      </w:pPr>
    </w:p>
    <w:p w14:paraId="3FAEFF25" w14:textId="77777777" w:rsidR="00DC4434" w:rsidRDefault="00DC4434" w:rsidP="00DC4434">
      <w:pPr>
        <w:rPr>
          <w:lang w:val="en-GB"/>
        </w:rPr>
      </w:pPr>
    </w:p>
    <w:p w14:paraId="377F0AFB" w14:textId="77777777" w:rsidR="00DC4434" w:rsidRDefault="00DC4434" w:rsidP="00DC4434">
      <w:pPr>
        <w:rPr>
          <w:lang w:val="en-GB"/>
        </w:rPr>
      </w:pPr>
    </w:p>
    <w:p w14:paraId="1FD4FF2D" w14:textId="77777777" w:rsidR="00DC4434" w:rsidRDefault="00DC4434" w:rsidP="00DC4434">
      <w:pPr>
        <w:rPr>
          <w:lang w:val="en-GB"/>
        </w:rPr>
      </w:pPr>
    </w:p>
    <w:p w14:paraId="494E1978" w14:textId="77777777" w:rsidR="00DC4434" w:rsidRDefault="00DC4434" w:rsidP="00DC4434">
      <w:pPr>
        <w:rPr>
          <w:lang w:val="en-GB"/>
        </w:rPr>
      </w:pPr>
    </w:p>
    <w:p w14:paraId="5433EC4E" w14:textId="77777777" w:rsidR="00DC4434" w:rsidRDefault="00DC4434" w:rsidP="00DC4434">
      <w:pPr>
        <w:rPr>
          <w:lang w:val="en-GB"/>
        </w:rPr>
      </w:pPr>
    </w:p>
    <w:p w14:paraId="66FD52C3" w14:textId="77777777" w:rsidR="00DC4434" w:rsidRDefault="00DC4434" w:rsidP="00DC4434">
      <w:pPr>
        <w:rPr>
          <w:lang w:val="en-GB"/>
        </w:rPr>
      </w:pPr>
    </w:p>
    <w:tbl>
      <w:tblPr>
        <w:tblW w:w="5698" w:type="dxa"/>
        <w:tblInd w:w="3256" w:type="dxa"/>
        <w:tblLayout w:type="fixed"/>
        <w:tblCellMar>
          <w:left w:w="10" w:type="dxa"/>
          <w:right w:w="10" w:type="dxa"/>
        </w:tblCellMar>
        <w:tblLook w:val="0000" w:firstRow="0" w:lastRow="0" w:firstColumn="0" w:lastColumn="0" w:noHBand="0" w:noVBand="0"/>
      </w:tblPr>
      <w:tblGrid>
        <w:gridCol w:w="1842"/>
        <w:gridCol w:w="3856"/>
      </w:tblGrid>
      <w:tr w:rsidR="00DC4434" w:rsidRPr="00DC4434" w14:paraId="0A040A6E" w14:textId="77777777" w:rsidTr="00947C27">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5CE84C" w14:textId="77777777" w:rsidR="00DC4434" w:rsidRDefault="00DC4434" w:rsidP="00947C27">
            <w:pPr>
              <w:pStyle w:val="Textrevisionmain"/>
              <w:rPr>
                <w:rFonts w:asciiTheme="minorHAnsi" w:hAnsiTheme="minorHAnsi"/>
              </w:rPr>
            </w:pPr>
          </w:p>
          <w:p w14:paraId="4A485CD6" w14:textId="77777777" w:rsidR="00DC4434" w:rsidRPr="00D71E60" w:rsidRDefault="00DC4434" w:rsidP="00947C27">
            <w:pPr>
              <w:pStyle w:val="Textrevisionmain"/>
              <w:rPr>
                <w:rFonts w:asciiTheme="minorHAnsi" w:hAnsiTheme="minorHAnsi"/>
              </w:rPr>
            </w:pPr>
            <w:r w:rsidRPr="00D71E60">
              <w:rPr>
                <w:rFonts w:asciiTheme="minorHAnsi" w:hAnsiTheme="minorHAnsi"/>
              </w:rPr>
              <w:t>Document title:</w:t>
            </w:r>
          </w:p>
        </w:tc>
        <w:tc>
          <w:tcPr>
            <w:tcW w:w="3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1E648B" w14:textId="77777777" w:rsidR="00DC4434" w:rsidRPr="004A4432" w:rsidRDefault="00DC4434" w:rsidP="00947C27">
            <w:pPr>
              <w:pStyle w:val="Standard"/>
              <w:tabs>
                <w:tab w:val="left" w:pos="2788"/>
              </w:tabs>
              <w:rPr>
                <w:rFonts w:asciiTheme="minorHAnsi" w:hAnsiTheme="minorHAnsi" w:cstheme="minorHAnsi"/>
                <w:sz w:val="56"/>
                <w:szCs w:val="56"/>
                <w:lang w:val="en-GB"/>
              </w:rPr>
            </w:pPr>
            <w:r>
              <w:rPr>
                <w:rFonts w:asciiTheme="minorHAnsi" w:hAnsiTheme="minorHAnsi" w:cstheme="minorHAnsi"/>
                <w:lang w:val="en-GB"/>
              </w:rPr>
              <w:t>Guideline for use of an i</w:t>
            </w:r>
            <w:r w:rsidRPr="001C0189">
              <w:rPr>
                <w:rFonts w:asciiTheme="minorHAnsi" w:hAnsiTheme="minorHAnsi" w:cstheme="minorHAnsi"/>
                <w:lang w:val="en-GB"/>
              </w:rPr>
              <w:t>solating a safety valve KeyLock s</w:t>
            </w:r>
            <w:r>
              <w:rPr>
                <w:rFonts w:asciiTheme="minorHAnsi" w:hAnsiTheme="minorHAnsi" w:cstheme="minorHAnsi"/>
                <w:lang w:val="en-GB"/>
              </w:rPr>
              <w:t>ystem</w:t>
            </w:r>
          </w:p>
        </w:tc>
      </w:tr>
      <w:tr w:rsidR="00DC4434" w:rsidRPr="00D71E60" w14:paraId="03284D2F" w14:textId="77777777" w:rsidTr="00947C27">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10E0F2" w14:textId="77777777" w:rsidR="00DC4434" w:rsidRPr="00D71E60" w:rsidRDefault="00DC4434" w:rsidP="00947C27">
            <w:pPr>
              <w:pStyle w:val="Textrevisionmain"/>
              <w:rPr>
                <w:rFonts w:asciiTheme="minorHAnsi" w:hAnsiTheme="minorHAnsi"/>
              </w:rPr>
            </w:pPr>
            <w:r w:rsidRPr="00D71E60">
              <w:rPr>
                <w:rFonts w:asciiTheme="minorHAnsi" w:hAnsiTheme="minorHAnsi"/>
              </w:rPr>
              <w:t>Client:</w:t>
            </w:r>
          </w:p>
        </w:tc>
        <w:tc>
          <w:tcPr>
            <w:tcW w:w="3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928C97" w14:textId="77777777" w:rsidR="00DC4434" w:rsidRPr="00D71E60" w:rsidRDefault="00DC4434" w:rsidP="00947C27">
            <w:pPr>
              <w:pStyle w:val="Textrevision"/>
              <w:rPr>
                <w:rFonts w:asciiTheme="minorHAnsi" w:hAnsiTheme="minorHAnsi"/>
              </w:rPr>
            </w:pPr>
            <w:r>
              <w:rPr>
                <w:rFonts w:asciiTheme="minorHAnsi" w:hAnsiTheme="minorHAnsi"/>
              </w:rPr>
              <w:t>All</w:t>
            </w:r>
          </w:p>
        </w:tc>
      </w:tr>
      <w:tr w:rsidR="00DC4434" w:rsidRPr="00D71E60" w14:paraId="138C4A55" w14:textId="77777777" w:rsidTr="00947C27">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25ACC3" w14:textId="77777777" w:rsidR="00DC4434" w:rsidRPr="00D71E60" w:rsidRDefault="00DC4434" w:rsidP="00947C27">
            <w:pPr>
              <w:pStyle w:val="Textrevisionmain"/>
              <w:rPr>
                <w:rFonts w:asciiTheme="minorHAnsi" w:hAnsiTheme="minorHAnsi"/>
              </w:rPr>
            </w:pPr>
            <w:r w:rsidRPr="00D71E60">
              <w:rPr>
                <w:rFonts w:asciiTheme="minorHAnsi" w:hAnsiTheme="minorHAnsi"/>
              </w:rPr>
              <w:t>Client order:</w:t>
            </w:r>
          </w:p>
        </w:tc>
        <w:tc>
          <w:tcPr>
            <w:tcW w:w="3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618086" w14:textId="77777777" w:rsidR="00DC4434" w:rsidRPr="00D71E60" w:rsidRDefault="00DC4434" w:rsidP="00947C27">
            <w:pPr>
              <w:pStyle w:val="Textrevision"/>
              <w:rPr>
                <w:rFonts w:asciiTheme="minorHAnsi" w:hAnsiTheme="minorHAnsi"/>
              </w:rPr>
            </w:pPr>
          </w:p>
        </w:tc>
      </w:tr>
      <w:tr w:rsidR="00DC4434" w:rsidRPr="00DC4434" w14:paraId="08E6FA44" w14:textId="77777777" w:rsidTr="00947C27">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0C5475" w14:textId="77777777" w:rsidR="00DC4434" w:rsidRPr="00D71E60" w:rsidRDefault="00DC4434" w:rsidP="00947C27">
            <w:pPr>
              <w:pStyle w:val="Textrevisionmain"/>
              <w:rPr>
                <w:rFonts w:asciiTheme="minorHAnsi" w:hAnsiTheme="minorHAnsi"/>
              </w:rPr>
            </w:pPr>
            <w:r w:rsidRPr="00D71E60">
              <w:rPr>
                <w:rFonts w:asciiTheme="minorHAnsi" w:hAnsiTheme="minorHAnsi"/>
              </w:rPr>
              <w:t>DSE number:</w:t>
            </w:r>
          </w:p>
        </w:tc>
        <w:tc>
          <w:tcPr>
            <w:tcW w:w="3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10BB1C" w14:textId="77777777" w:rsidR="00DC4434" w:rsidRPr="00A04DDA" w:rsidRDefault="00DC4434" w:rsidP="00947C27">
            <w:pPr>
              <w:pStyle w:val="Undertittel"/>
              <w:jc w:val="left"/>
              <w:rPr>
                <w:rFonts w:asciiTheme="minorHAnsi" w:hAnsiTheme="minorHAnsi"/>
                <w:b w:val="0"/>
                <w:bCs/>
                <w:sz w:val="20"/>
                <w:szCs w:val="20"/>
                <w:lang w:val="en-GB"/>
              </w:rPr>
            </w:pPr>
            <w:r w:rsidRPr="00EF6497">
              <w:rPr>
                <w:b w:val="0"/>
                <w:bCs/>
                <w:sz w:val="20"/>
                <w:szCs w:val="20"/>
                <w:lang w:val="en-GB"/>
              </w:rPr>
              <w:t xml:space="preserve">GL-DSE-2020-009 </w:t>
            </w:r>
            <w:r w:rsidRPr="00A04DDA">
              <w:rPr>
                <w:rFonts w:asciiTheme="minorHAnsi" w:hAnsiTheme="minorHAnsi" w:cstheme="minorHAnsi"/>
                <w:b w:val="0"/>
                <w:bCs/>
                <w:sz w:val="20"/>
                <w:szCs w:val="20"/>
                <w:lang w:val="en-GB"/>
              </w:rPr>
              <w:t>use of a KeyLock system for isolating a safety</w:t>
            </w:r>
            <w:r w:rsidRPr="001009F5">
              <w:rPr>
                <w:rFonts w:asciiTheme="minorHAnsi" w:hAnsiTheme="minorHAnsi" w:cstheme="minorHAnsi"/>
                <w:szCs w:val="24"/>
                <w:lang w:val="en-GB"/>
              </w:rPr>
              <w:t xml:space="preserve"> </w:t>
            </w:r>
            <w:r w:rsidRPr="00A04DDA">
              <w:rPr>
                <w:rFonts w:asciiTheme="minorHAnsi" w:hAnsiTheme="minorHAnsi" w:cstheme="minorHAnsi"/>
                <w:b w:val="0"/>
                <w:bCs/>
                <w:sz w:val="20"/>
                <w:szCs w:val="20"/>
                <w:lang w:val="en-GB"/>
              </w:rPr>
              <w:t>valve</w:t>
            </w:r>
          </w:p>
        </w:tc>
      </w:tr>
    </w:tbl>
    <w:sdt>
      <w:sdtPr>
        <w:rPr>
          <w:rFonts w:asciiTheme="minorHAnsi" w:eastAsia="Droid Sans" w:hAnsiTheme="minorHAnsi" w:cstheme="minorHAnsi"/>
          <w:b/>
          <w:bCs/>
          <w:smallCaps/>
          <w:color w:val="4F81BD" w:themeColor="accent1"/>
          <w:spacing w:val="5"/>
          <w:kern w:val="3"/>
          <w:sz w:val="40"/>
          <w:szCs w:val="22"/>
          <w:lang w:val="en-GB" w:eastAsia="en-US"/>
        </w:rPr>
        <w:id w:val="1837646410"/>
        <w:docPartObj>
          <w:docPartGallery w:val="Table of Contents"/>
          <w:docPartUnique/>
        </w:docPartObj>
      </w:sdtPr>
      <w:sdtEndPr>
        <w:rPr>
          <w:rFonts w:eastAsiaTheme="minorHAnsi"/>
          <w:smallCaps w:val="0"/>
          <w:color w:val="auto"/>
          <w:spacing w:val="0"/>
          <w:kern w:val="0"/>
          <w:sz w:val="22"/>
        </w:rPr>
      </w:sdtEndPr>
      <w:sdtContent>
        <w:p w14:paraId="201BB50F" w14:textId="77777777" w:rsidR="00DC4434" w:rsidRPr="00D71E60" w:rsidRDefault="00DC4434" w:rsidP="00DC4434">
          <w:pPr>
            <w:pStyle w:val="Overskriftforinnholdsfortegnelse"/>
            <w:rPr>
              <w:rStyle w:val="Overskrift1Tegn"/>
              <w:rFonts w:asciiTheme="minorHAnsi" w:hAnsiTheme="minorHAnsi" w:cstheme="minorHAnsi"/>
              <w:lang w:val="en-GB"/>
            </w:rPr>
          </w:pPr>
          <w:r w:rsidRPr="00D71E60">
            <w:rPr>
              <w:rStyle w:val="Overskrift1Tegn"/>
              <w:rFonts w:asciiTheme="minorHAnsi" w:hAnsiTheme="minorHAnsi" w:cstheme="minorHAnsi"/>
              <w:lang w:val="en-GB"/>
            </w:rPr>
            <w:t>Contents</w:t>
          </w:r>
        </w:p>
        <w:p w14:paraId="61FDB652" w14:textId="77777777" w:rsidR="00DC4434" w:rsidRDefault="00DC4434" w:rsidP="00DC4434">
          <w:pPr>
            <w:pStyle w:val="INNH1"/>
            <w:rPr>
              <w:rFonts w:asciiTheme="minorHAnsi" w:eastAsiaTheme="minorEastAsia" w:hAnsiTheme="minorHAnsi" w:cstheme="minorBidi"/>
              <w:noProof/>
              <w:kern w:val="0"/>
              <w:lang w:eastAsia="nb-NO"/>
            </w:rPr>
          </w:pPr>
          <w:r w:rsidRPr="00D71E60">
            <w:rPr>
              <w:rFonts w:asciiTheme="minorHAnsi" w:hAnsiTheme="minorHAnsi" w:cstheme="minorHAnsi"/>
              <w:lang w:val="en-GB"/>
            </w:rPr>
            <w:fldChar w:fldCharType="begin"/>
          </w:r>
          <w:r w:rsidRPr="00D71E60">
            <w:rPr>
              <w:rFonts w:asciiTheme="minorHAnsi" w:hAnsiTheme="minorHAnsi" w:cstheme="minorHAnsi"/>
              <w:lang w:val="en-GB"/>
            </w:rPr>
            <w:instrText xml:space="preserve"> TOC \o "1-3" \h \z \u </w:instrText>
          </w:r>
          <w:r w:rsidRPr="00D71E60">
            <w:rPr>
              <w:rFonts w:asciiTheme="minorHAnsi" w:hAnsiTheme="minorHAnsi" w:cstheme="minorHAnsi"/>
              <w:lang w:val="en-GB"/>
            </w:rPr>
            <w:fldChar w:fldCharType="separate"/>
          </w:r>
          <w:hyperlink w:anchor="_Toc55997565" w:history="1">
            <w:r w:rsidRPr="000165F6">
              <w:rPr>
                <w:rStyle w:val="Hyperkobling"/>
                <w:noProof/>
              </w:rPr>
              <w:t>1.</w:t>
            </w:r>
            <w:r>
              <w:rPr>
                <w:rFonts w:asciiTheme="minorHAnsi" w:eastAsiaTheme="minorEastAsia" w:hAnsiTheme="minorHAnsi" w:cstheme="minorBidi"/>
                <w:noProof/>
                <w:kern w:val="0"/>
                <w:lang w:eastAsia="nb-NO"/>
              </w:rPr>
              <w:tab/>
            </w:r>
            <w:r w:rsidRPr="000165F6">
              <w:rPr>
                <w:rStyle w:val="Hyperkobling"/>
                <w:noProof/>
              </w:rPr>
              <w:t>Information and background</w:t>
            </w:r>
            <w:r>
              <w:rPr>
                <w:noProof/>
                <w:webHidden/>
              </w:rPr>
              <w:tab/>
            </w:r>
            <w:r>
              <w:rPr>
                <w:noProof/>
                <w:webHidden/>
              </w:rPr>
              <w:fldChar w:fldCharType="begin"/>
            </w:r>
            <w:r>
              <w:rPr>
                <w:noProof/>
                <w:webHidden/>
              </w:rPr>
              <w:instrText xml:space="preserve"> PAGEREF _Toc55997565 \h </w:instrText>
            </w:r>
            <w:r>
              <w:rPr>
                <w:noProof/>
                <w:webHidden/>
              </w:rPr>
            </w:r>
            <w:r>
              <w:rPr>
                <w:noProof/>
                <w:webHidden/>
              </w:rPr>
              <w:fldChar w:fldCharType="separate"/>
            </w:r>
            <w:r>
              <w:rPr>
                <w:noProof/>
                <w:webHidden/>
              </w:rPr>
              <w:t>2</w:t>
            </w:r>
            <w:r>
              <w:rPr>
                <w:noProof/>
                <w:webHidden/>
              </w:rPr>
              <w:fldChar w:fldCharType="end"/>
            </w:r>
          </w:hyperlink>
        </w:p>
        <w:p w14:paraId="5D4858A1" w14:textId="77777777" w:rsidR="00DC4434" w:rsidRDefault="003A4863" w:rsidP="00DC4434">
          <w:pPr>
            <w:pStyle w:val="INNH1"/>
            <w:rPr>
              <w:rFonts w:asciiTheme="minorHAnsi" w:eastAsiaTheme="minorEastAsia" w:hAnsiTheme="minorHAnsi" w:cstheme="minorBidi"/>
              <w:noProof/>
              <w:kern w:val="0"/>
              <w:lang w:eastAsia="nb-NO"/>
            </w:rPr>
          </w:pPr>
          <w:hyperlink w:anchor="_Toc55997566" w:history="1">
            <w:r w:rsidR="00DC4434" w:rsidRPr="000165F6">
              <w:rPr>
                <w:rStyle w:val="Hyperkobling"/>
                <w:noProof/>
              </w:rPr>
              <w:t>2.</w:t>
            </w:r>
            <w:r w:rsidR="00DC4434">
              <w:rPr>
                <w:rFonts w:asciiTheme="minorHAnsi" w:eastAsiaTheme="minorEastAsia" w:hAnsiTheme="minorHAnsi" w:cstheme="minorBidi"/>
                <w:noProof/>
                <w:kern w:val="0"/>
                <w:lang w:eastAsia="nb-NO"/>
              </w:rPr>
              <w:tab/>
            </w:r>
            <w:r w:rsidR="00DC4434" w:rsidRPr="000165F6">
              <w:rPr>
                <w:rStyle w:val="Hyperkobling"/>
                <w:noProof/>
              </w:rPr>
              <w:t>When is remote inspection allowed</w:t>
            </w:r>
            <w:r w:rsidR="00DC4434">
              <w:rPr>
                <w:noProof/>
                <w:webHidden/>
              </w:rPr>
              <w:tab/>
            </w:r>
            <w:r w:rsidR="00DC4434">
              <w:rPr>
                <w:noProof/>
                <w:webHidden/>
              </w:rPr>
              <w:fldChar w:fldCharType="begin"/>
            </w:r>
            <w:r w:rsidR="00DC4434">
              <w:rPr>
                <w:noProof/>
                <w:webHidden/>
              </w:rPr>
              <w:instrText xml:space="preserve"> PAGEREF _Toc55997566 \h </w:instrText>
            </w:r>
            <w:r w:rsidR="00DC4434">
              <w:rPr>
                <w:noProof/>
                <w:webHidden/>
              </w:rPr>
            </w:r>
            <w:r w:rsidR="00DC4434">
              <w:rPr>
                <w:noProof/>
                <w:webHidden/>
              </w:rPr>
              <w:fldChar w:fldCharType="separate"/>
            </w:r>
            <w:r w:rsidR="00DC4434">
              <w:rPr>
                <w:noProof/>
                <w:webHidden/>
              </w:rPr>
              <w:t>2</w:t>
            </w:r>
            <w:r w:rsidR="00DC4434">
              <w:rPr>
                <w:noProof/>
                <w:webHidden/>
              </w:rPr>
              <w:fldChar w:fldCharType="end"/>
            </w:r>
          </w:hyperlink>
        </w:p>
        <w:p w14:paraId="3B7D0775" w14:textId="77777777" w:rsidR="00DC4434" w:rsidRDefault="003A4863" w:rsidP="00DC4434">
          <w:pPr>
            <w:pStyle w:val="INNH1"/>
            <w:rPr>
              <w:rFonts w:asciiTheme="minorHAnsi" w:eastAsiaTheme="minorEastAsia" w:hAnsiTheme="minorHAnsi" w:cstheme="minorBidi"/>
              <w:noProof/>
              <w:kern w:val="0"/>
              <w:lang w:eastAsia="nb-NO"/>
            </w:rPr>
          </w:pPr>
          <w:hyperlink w:anchor="_Toc55997567" w:history="1">
            <w:r w:rsidR="00DC4434" w:rsidRPr="000165F6">
              <w:rPr>
                <w:rStyle w:val="Hyperkobling"/>
                <w:smallCaps/>
                <w:noProof/>
                <w:spacing w:val="5"/>
              </w:rPr>
              <w:t>3.</w:t>
            </w:r>
            <w:r w:rsidR="00DC4434">
              <w:rPr>
                <w:rFonts w:asciiTheme="minorHAnsi" w:eastAsiaTheme="minorEastAsia" w:hAnsiTheme="minorHAnsi" w:cstheme="minorBidi"/>
                <w:noProof/>
                <w:kern w:val="0"/>
                <w:lang w:eastAsia="nb-NO"/>
              </w:rPr>
              <w:tab/>
            </w:r>
            <w:r w:rsidR="00DC4434" w:rsidRPr="000165F6">
              <w:rPr>
                <w:rStyle w:val="Hyperkobling"/>
                <w:noProof/>
              </w:rPr>
              <w:t>Registration of inspection</w:t>
            </w:r>
            <w:r w:rsidR="00DC4434">
              <w:rPr>
                <w:noProof/>
                <w:webHidden/>
              </w:rPr>
              <w:tab/>
            </w:r>
            <w:r w:rsidR="00DC4434">
              <w:rPr>
                <w:noProof/>
                <w:webHidden/>
              </w:rPr>
              <w:fldChar w:fldCharType="begin"/>
            </w:r>
            <w:r w:rsidR="00DC4434">
              <w:rPr>
                <w:noProof/>
                <w:webHidden/>
              </w:rPr>
              <w:instrText xml:space="preserve"> PAGEREF _Toc55997567 \h </w:instrText>
            </w:r>
            <w:r w:rsidR="00DC4434">
              <w:rPr>
                <w:noProof/>
                <w:webHidden/>
              </w:rPr>
            </w:r>
            <w:r w:rsidR="00DC4434">
              <w:rPr>
                <w:noProof/>
                <w:webHidden/>
              </w:rPr>
              <w:fldChar w:fldCharType="separate"/>
            </w:r>
            <w:r w:rsidR="00DC4434">
              <w:rPr>
                <w:noProof/>
                <w:webHidden/>
              </w:rPr>
              <w:t>3</w:t>
            </w:r>
            <w:r w:rsidR="00DC4434">
              <w:rPr>
                <w:noProof/>
                <w:webHidden/>
              </w:rPr>
              <w:fldChar w:fldCharType="end"/>
            </w:r>
          </w:hyperlink>
        </w:p>
        <w:p w14:paraId="4693EDB8" w14:textId="77777777" w:rsidR="00DC4434" w:rsidRPr="00D71E60" w:rsidRDefault="00DC4434" w:rsidP="00DC4434">
          <w:pPr>
            <w:rPr>
              <w:rFonts w:cstheme="minorHAnsi"/>
              <w:lang w:val="en-GB"/>
            </w:rPr>
          </w:pPr>
          <w:r w:rsidRPr="00D71E60">
            <w:rPr>
              <w:rFonts w:cstheme="minorHAnsi"/>
              <w:b/>
              <w:bCs/>
              <w:lang w:val="en-GB"/>
            </w:rPr>
            <w:fldChar w:fldCharType="end"/>
          </w:r>
        </w:p>
      </w:sdtContent>
    </w:sdt>
    <w:p w14:paraId="341379FF" w14:textId="77777777" w:rsidR="00DC4434" w:rsidRPr="00D71E60" w:rsidRDefault="00DC4434" w:rsidP="00DC4434">
      <w:pPr>
        <w:pStyle w:val="Overskrift1"/>
        <w:widowControl w:val="0"/>
        <w:numPr>
          <w:ilvl w:val="0"/>
          <w:numId w:val="39"/>
        </w:numPr>
        <w:suppressAutoHyphens/>
        <w:autoSpaceDN w:val="0"/>
        <w:spacing w:line="240" w:lineRule="auto"/>
        <w:textAlignment w:val="baseline"/>
        <w:rPr>
          <w:rStyle w:val="Sterkreferanse"/>
          <w:b w:val="0"/>
          <w:bCs w:val="0"/>
          <w:smallCaps w:val="0"/>
          <w:sz w:val="28"/>
          <w:lang w:val="en-GB"/>
        </w:rPr>
      </w:pPr>
      <w:bookmarkStart w:id="1" w:name="_Toc494096182"/>
      <w:bookmarkStart w:id="2" w:name="_Toc494106513"/>
      <w:bookmarkStart w:id="3" w:name="_Toc55997565"/>
      <w:bookmarkStart w:id="4" w:name="_Toc404969569"/>
      <w:bookmarkStart w:id="5" w:name="_Toc404925003"/>
      <w:bookmarkStart w:id="6" w:name="_Toc404159063"/>
      <w:bookmarkStart w:id="7" w:name="_Toc390671994"/>
      <w:bookmarkStart w:id="8" w:name="__RefHeading__886_1714610460"/>
      <w:bookmarkStart w:id="9" w:name="_Toc494096183"/>
      <w:r w:rsidRPr="00D71E60">
        <w:rPr>
          <w:rStyle w:val="Sterkreferanse"/>
          <w:b w:val="0"/>
          <w:sz w:val="28"/>
          <w:lang w:val="en-GB"/>
        </w:rPr>
        <w:t>Information and background</w:t>
      </w:r>
      <w:bookmarkEnd w:id="1"/>
      <w:bookmarkEnd w:id="2"/>
      <w:bookmarkEnd w:id="3"/>
    </w:p>
    <w:p w14:paraId="6A3BF06B" w14:textId="77777777" w:rsidR="00DC4434" w:rsidRPr="00D71E60" w:rsidRDefault="00DC4434" w:rsidP="00DC4434">
      <w:pPr>
        <w:rPr>
          <w:rFonts w:cstheme="minorHAnsi"/>
          <w:lang w:val="en-GB"/>
        </w:rPr>
      </w:pPr>
    </w:p>
    <w:p w14:paraId="18832F56" w14:textId="77777777" w:rsidR="00DC4434" w:rsidRDefault="00DC4434" w:rsidP="00DC4434">
      <w:pPr>
        <w:pStyle w:val="Maintext"/>
      </w:pPr>
      <w:r>
        <w:t xml:space="preserve">This review and approval Is written to verify the use of keylock valve systems in safety valve relief systems. </w:t>
      </w:r>
    </w:p>
    <w:p w14:paraId="7BBBB062" w14:textId="77777777" w:rsidR="00DC4434" w:rsidRDefault="00DC4434" w:rsidP="00DC4434">
      <w:pPr>
        <w:pStyle w:val="Maintext"/>
      </w:pPr>
    </w:p>
    <w:p w14:paraId="6A6A9E01" w14:textId="77777777" w:rsidR="00DC4434" w:rsidRDefault="00DC4434" w:rsidP="00DC4434">
      <w:pPr>
        <w:pStyle w:val="Maintext"/>
      </w:pPr>
      <w:r>
        <w:t>KeyLock systems are widely used in the process and offshore industry as a way to safely isolate energy sources from systems in use.</w:t>
      </w:r>
    </w:p>
    <w:p w14:paraId="173C76B0" w14:textId="77777777" w:rsidR="00DC4434" w:rsidRDefault="00DC4434" w:rsidP="00DC4434">
      <w:pPr>
        <w:pStyle w:val="Maintext"/>
      </w:pPr>
    </w:p>
    <w:p w14:paraId="05A20E1D" w14:textId="77777777" w:rsidR="00DC4434" w:rsidRDefault="00DC4434" w:rsidP="00DC4434">
      <w:pPr>
        <w:pStyle w:val="Maintext"/>
      </w:pPr>
      <w:r>
        <w:t xml:space="preserve">The systems will prevent human errors and shall guide operator by predefined valve operating sequences to the correct locking and unlocking sequences. For the a set of unique keys are used that only allow the correct valves to be opened or closed in a predefined order. </w:t>
      </w:r>
    </w:p>
    <w:p w14:paraId="35042FA6" w14:textId="77777777" w:rsidR="00DC4434" w:rsidRDefault="00DC4434" w:rsidP="00DC4434">
      <w:pPr>
        <w:pStyle w:val="Maintext"/>
      </w:pPr>
    </w:p>
    <w:p w14:paraId="7CA4C739" w14:textId="77777777" w:rsidR="00DC4434" w:rsidRDefault="00DC4434" w:rsidP="00DC4434">
      <w:pPr>
        <w:pStyle w:val="Maintext"/>
      </w:pPr>
      <w:r>
        <w:t xml:space="preserve">Thus creating a safer environment and reduce erroneous routines. </w:t>
      </w:r>
    </w:p>
    <w:p w14:paraId="587BC054" w14:textId="77777777" w:rsidR="00DC4434" w:rsidRPr="00D71E60" w:rsidRDefault="00DC4434" w:rsidP="00DC4434">
      <w:pPr>
        <w:pStyle w:val="Overskrift1"/>
        <w:widowControl w:val="0"/>
        <w:numPr>
          <w:ilvl w:val="0"/>
          <w:numId w:val="39"/>
        </w:numPr>
        <w:suppressAutoHyphens/>
        <w:autoSpaceDN w:val="0"/>
        <w:spacing w:line="240" w:lineRule="auto"/>
        <w:textAlignment w:val="baseline"/>
        <w:rPr>
          <w:rStyle w:val="Sterkreferanse"/>
          <w:rFonts w:cstheme="minorHAnsi"/>
          <w:b w:val="0"/>
          <w:bCs w:val="0"/>
          <w:smallCaps w:val="0"/>
          <w:sz w:val="28"/>
          <w:lang w:val="en-GB"/>
        </w:rPr>
      </w:pPr>
      <w:bookmarkStart w:id="10" w:name="_Toc55997566"/>
      <w:bookmarkStart w:id="11" w:name="_Toc494096185"/>
      <w:bookmarkEnd w:id="4"/>
      <w:bookmarkEnd w:id="5"/>
      <w:bookmarkEnd w:id="6"/>
      <w:bookmarkEnd w:id="7"/>
      <w:bookmarkEnd w:id="8"/>
      <w:bookmarkEnd w:id="9"/>
      <w:r>
        <w:rPr>
          <w:rStyle w:val="Sterkreferanse"/>
          <w:rFonts w:cstheme="minorHAnsi"/>
          <w:b w:val="0"/>
          <w:sz w:val="28"/>
          <w:lang w:val="en-GB"/>
        </w:rPr>
        <w:t>Can Keylock systems be used in boiler relief systems</w:t>
      </w:r>
      <w:bookmarkEnd w:id="10"/>
      <w:r>
        <w:rPr>
          <w:rStyle w:val="Sterkreferanse"/>
          <w:rFonts w:cstheme="minorHAnsi"/>
          <w:b w:val="0"/>
          <w:sz w:val="28"/>
          <w:lang w:val="en-GB"/>
        </w:rPr>
        <w:t>?</w:t>
      </w:r>
    </w:p>
    <w:p w14:paraId="1E8E42A4" w14:textId="77777777" w:rsidR="00DC4434" w:rsidRPr="00D71E60" w:rsidRDefault="00DC4434" w:rsidP="00DC4434">
      <w:pPr>
        <w:pStyle w:val="Maintext"/>
      </w:pPr>
    </w:p>
    <w:p w14:paraId="529F452D" w14:textId="77777777" w:rsidR="00DC4434" w:rsidRDefault="00DC4434" w:rsidP="00DC4434">
      <w:pPr>
        <w:spacing w:before="100" w:beforeAutospacing="1" w:after="100" w:afterAutospacing="1"/>
        <w:rPr>
          <w:rFonts w:ascii="Calibri" w:hAnsi="Calibri"/>
          <w:lang w:val="en-GB"/>
        </w:rPr>
      </w:pPr>
      <w:r w:rsidRPr="0082682F">
        <w:rPr>
          <w:rFonts w:ascii="Calibri" w:hAnsi="Calibri"/>
          <w:lang w:val="en-GB"/>
        </w:rPr>
        <w:t>The use of KeyLock systems in steam boiler relief systems</w:t>
      </w:r>
      <w:r>
        <w:rPr>
          <w:rFonts w:ascii="Calibri" w:hAnsi="Calibri"/>
          <w:lang w:val="en-GB"/>
        </w:rPr>
        <w:t xml:space="preserve"> is not allowed. EN12953-8 clearly states that there shall not be any valve placed in the pressure relief line of a steam boiler. </w:t>
      </w:r>
    </w:p>
    <w:p w14:paraId="432DA0A5" w14:textId="77777777" w:rsidR="00DC4434" w:rsidRPr="002E26B7" w:rsidRDefault="00DC4434" w:rsidP="00DC4434">
      <w:pPr>
        <w:autoSpaceDE w:val="0"/>
        <w:adjustRightInd w:val="0"/>
        <w:spacing w:after="0"/>
        <w:rPr>
          <w:rFonts w:ascii="Calibri" w:hAnsi="Calibri"/>
          <w:i/>
          <w:iCs/>
          <w:lang w:val="en-GB"/>
        </w:rPr>
      </w:pPr>
      <w:r w:rsidRPr="002E26B7">
        <w:rPr>
          <w:rFonts w:ascii="Calibri" w:hAnsi="Calibri"/>
          <w:i/>
          <w:iCs/>
          <w:lang w:val="en-GB"/>
        </w:rPr>
        <w:t>“ There shall be no shut off devices between the boiler and its safety devices or between the safety device and their points of discharge.”</w:t>
      </w:r>
    </w:p>
    <w:p w14:paraId="4878B6DA" w14:textId="77777777" w:rsidR="00DC4434" w:rsidRDefault="00DC4434" w:rsidP="00DC4434">
      <w:pPr>
        <w:spacing w:before="100" w:beforeAutospacing="1" w:after="100" w:afterAutospacing="1"/>
        <w:rPr>
          <w:rFonts w:ascii="Calibri" w:hAnsi="Calibri"/>
          <w:lang w:val="en-GB"/>
        </w:rPr>
      </w:pPr>
      <w:r>
        <w:rPr>
          <w:rFonts w:ascii="Calibri" w:hAnsi="Calibri"/>
          <w:lang w:val="en-GB"/>
        </w:rPr>
        <w:t xml:space="preserve">Isolating these lines for maintenance is therefore done by placing  a blind spade in the valve line. </w:t>
      </w:r>
    </w:p>
    <w:p w14:paraId="5A0BAC06" w14:textId="77777777" w:rsidR="00DC4434" w:rsidRPr="00B934F9" w:rsidRDefault="00DC4434" w:rsidP="00DC4434">
      <w:pPr>
        <w:spacing w:before="100" w:beforeAutospacing="1" w:after="100" w:afterAutospacing="1"/>
        <w:rPr>
          <w:lang w:val="en-GB"/>
        </w:rPr>
      </w:pPr>
      <w:r>
        <w:rPr>
          <w:rFonts w:ascii="Calibri" w:hAnsi="Calibri"/>
          <w:lang w:val="en-GB"/>
        </w:rPr>
        <w:t>ASME BPVC. VIII D1 allows the use of stop valves in the upstream and / or downstream line of the discharge line. The relevant points for using valves in discharge piping are to be found in attachment M-5.7 of the ASME BPVC VIII Division 1.</w:t>
      </w:r>
    </w:p>
    <w:p w14:paraId="0CD3526D" w14:textId="77777777" w:rsidR="00DC4434" w:rsidRPr="00D71E60" w:rsidRDefault="00DC4434" w:rsidP="00DC4434">
      <w:pPr>
        <w:pStyle w:val="Overskrift1"/>
        <w:widowControl w:val="0"/>
        <w:numPr>
          <w:ilvl w:val="0"/>
          <w:numId w:val="39"/>
        </w:numPr>
        <w:suppressAutoHyphens/>
        <w:autoSpaceDN w:val="0"/>
        <w:spacing w:line="240" w:lineRule="auto"/>
        <w:textAlignment w:val="baseline"/>
        <w:rPr>
          <w:rStyle w:val="Sterkreferanse"/>
          <w:rFonts w:cstheme="minorHAnsi"/>
          <w:b w:val="0"/>
          <w:bCs w:val="0"/>
          <w:smallCaps w:val="0"/>
          <w:sz w:val="28"/>
          <w:lang w:val="en-GB"/>
        </w:rPr>
      </w:pPr>
      <w:r>
        <w:rPr>
          <w:rStyle w:val="Sterkreferanse"/>
          <w:rFonts w:cstheme="minorHAnsi"/>
          <w:b w:val="0"/>
          <w:sz w:val="28"/>
          <w:lang w:val="en-GB"/>
        </w:rPr>
        <w:t xml:space="preserve">Keylock systems working principle </w:t>
      </w:r>
    </w:p>
    <w:p w14:paraId="220DD6D2" w14:textId="77777777" w:rsidR="00DC4434" w:rsidRDefault="00DC4434" w:rsidP="00DC4434">
      <w:pPr>
        <w:spacing w:before="100" w:beforeAutospacing="1" w:after="100" w:afterAutospacing="1"/>
        <w:rPr>
          <w:rFonts w:ascii="Calibri" w:hAnsi="Calibri"/>
          <w:lang w:val="en-GB"/>
        </w:rPr>
      </w:pPr>
      <w:r>
        <w:rPr>
          <w:rFonts w:ascii="Calibri" w:hAnsi="Calibri"/>
          <w:lang w:val="en-GB"/>
        </w:rPr>
        <w:t xml:space="preserve">The keylock system principle is as follows. To prevent erroneous locking out of systems a set of keys is used to open and close the discharge line of å pressure vessel. These keys are not interchangeable and only 1 set Is available. </w:t>
      </w:r>
    </w:p>
    <w:p w14:paraId="07F70B1D" w14:textId="77777777" w:rsidR="00DC4434" w:rsidRDefault="00DC4434" w:rsidP="00DC4434">
      <w:pPr>
        <w:keepNext/>
        <w:spacing w:before="100" w:beforeAutospacing="1" w:after="100" w:afterAutospacing="1"/>
      </w:pPr>
      <w:r>
        <w:rPr>
          <w:rFonts w:ascii="Calibri" w:hAnsi="Calibri"/>
          <w:noProof/>
          <w:lang w:val="en-GB"/>
        </w:rPr>
        <w:lastRenderedPageBreak/>
        <w:drawing>
          <wp:inline distT="0" distB="0" distL="0" distR="0" wp14:anchorId="7A1158DD" wp14:editId="068B0841">
            <wp:extent cx="5753100" cy="561975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5619750"/>
                    </a:xfrm>
                    <a:prstGeom prst="rect">
                      <a:avLst/>
                    </a:prstGeom>
                    <a:noFill/>
                    <a:ln>
                      <a:noFill/>
                    </a:ln>
                  </pic:spPr>
                </pic:pic>
              </a:graphicData>
            </a:graphic>
          </wp:inline>
        </w:drawing>
      </w:r>
    </w:p>
    <w:p w14:paraId="2B71FC54" w14:textId="77777777" w:rsidR="00DC4434" w:rsidRDefault="00DC4434" w:rsidP="00DC4434">
      <w:pPr>
        <w:pStyle w:val="Bildetekst"/>
        <w:rPr>
          <w:rFonts w:ascii="Calibri" w:hAnsi="Calibri"/>
          <w:lang w:val="en-GB"/>
        </w:rPr>
      </w:pPr>
      <w:r w:rsidRPr="006B531E">
        <w:rPr>
          <w:lang w:val="en-GB"/>
        </w:rPr>
        <w:t xml:space="preserve">Figure </w:t>
      </w:r>
      <w:r>
        <w:fldChar w:fldCharType="begin"/>
      </w:r>
      <w:r w:rsidRPr="006B531E">
        <w:rPr>
          <w:lang w:val="en-GB"/>
        </w:rPr>
        <w:instrText xml:space="preserve"> SEQ Figure \* ARABIC </w:instrText>
      </w:r>
      <w:r>
        <w:fldChar w:fldCharType="separate"/>
      </w:r>
      <w:r>
        <w:rPr>
          <w:noProof/>
          <w:lang w:val="en-GB"/>
        </w:rPr>
        <w:t>1</w:t>
      </w:r>
      <w:r>
        <w:rPr>
          <w:noProof/>
        </w:rPr>
        <w:fldChar w:fldCharType="end"/>
      </w:r>
      <w:r w:rsidRPr="006B531E">
        <w:rPr>
          <w:lang w:val="en-GB"/>
        </w:rPr>
        <w:t xml:space="preserve"> Basic principle</w:t>
      </w:r>
    </w:p>
    <w:p w14:paraId="4EE9DD1C" w14:textId="77777777" w:rsidR="00DC4434" w:rsidRDefault="00DC4434" w:rsidP="00DC4434">
      <w:pPr>
        <w:spacing w:before="100" w:beforeAutospacing="1" w:after="100" w:afterAutospacing="1"/>
        <w:rPr>
          <w:rFonts w:ascii="Calibri" w:hAnsi="Calibri"/>
          <w:lang w:val="en-GB"/>
        </w:rPr>
      </w:pPr>
      <w:r>
        <w:rPr>
          <w:rFonts w:ascii="Calibri" w:hAnsi="Calibri"/>
          <w:lang w:val="en-GB"/>
        </w:rPr>
        <w:t>How does this in work in practice?</w:t>
      </w:r>
    </w:p>
    <w:p w14:paraId="7CD456A8" w14:textId="77777777" w:rsidR="00DC4434" w:rsidRPr="009873EE" w:rsidRDefault="00DC4434" w:rsidP="00DC4434">
      <w:pPr>
        <w:spacing w:before="100" w:beforeAutospacing="1" w:after="100" w:afterAutospacing="1"/>
        <w:rPr>
          <w:rFonts w:ascii="Calibri" w:hAnsi="Calibri"/>
          <w:lang w:val="en-GB"/>
        </w:rPr>
      </w:pPr>
      <w:r w:rsidRPr="009873EE">
        <w:rPr>
          <w:rFonts w:ascii="Calibri" w:hAnsi="Calibri"/>
          <w:lang w:val="en-GB"/>
        </w:rPr>
        <w:t>Each step in the keylock system is done with a specific key. This is best explained in an example.</w:t>
      </w:r>
    </w:p>
    <w:p w14:paraId="790D62EA" w14:textId="77777777" w:rsidR="00DC4434" w:rsidRPr="009873EE" w:rsidRDefault="00DC4434" w:rsidP="00DC4434">
      <w:pPr>
        <w:pStyle w:val="Bildetekst"/>
        <w:keepNext/>
        <w:rPr>
          <w:lang w:val="en-GB"/>
        </w:rPr>
      </w:pPr>
      <w:r w:rsidRPr="009873EE">
        <w:rPr>
          <w:lang w:val="en-GB"/>
        </w:rPr>
        <w:t xml:space="preserve">Table </w:t>
      </w:r>
      <w:r w:rsidRPr="009873EE">
        <w:rPr>
          <w:lang w:val="en-GB"/>
        </w:rPr>
        <w:fldChar w:fldCharType="begin"/>
      </w:r>
      <w:r w:rsidRPr="009873EE">
        <w:rPr>
          <w:lang w:val="en-GB"/>
        </w:rPr>
        <w:instrText xml:space="preserve"> SEQ Table \* ARABIC </w:instrText>
      </w:r>
      <w:r w:rsidRPr="009873EE">
        <w:rPr>
          <w:lang w:val="en-GB"/>
        </w:rPr>
        <w:fldChar w:fldCharType="separate"/>
      </w:r>
      <w:r w:rsidRPr="009873EE">
        <w:rPr>
          <w:noProof/>
          <w:lang w:val="en-GB"/>
        </w:rPr>
        <w:t>1</w:t>
      </w:r>
      <w:r w:rsidRPr="009873EE">
        <w:rPr>
          <w:lang w:val="en-GB"/>
        </w:rPr>
        <w:fldChar w:fldCharType="end"/>
      </w:r>
      <w:r w:rsidRPr="009873EE">
        <w:rPr>
          <w:lang w:val="en-GB"/>
        </w:rPr>
        <w:t xml:space="preserve"> Key colours</w:t>
      </w:r>
    </w:p>
    <w:tbl>
      <w:tblPr>
        <w:tblStyle w:val="Tabellrutenett"/>
        <w:tblW w:w="0" w:type="auto"/>
        <w:tblLook w:val="04A0" w:firstRow="1" w:lastRow="0" w:firstColumn="1" w:lastColumn="0" w:noHBand="0" w:noVBand="1"/>
      </w:tblPr>
      <w:tblGrid>
        <w:gridCol w:w="1980"/>
        <w:gridCol w:w="2410"/>
        <w:gridCol w:w="1842"/>
      </w:tblGrid>
      <w:tr w:rsidR="00DC4434" w:rsidRPr="009873EE" w14:paraId="0E77069E" w14:textId="77777777" w:rsidTr="00947C27">
        <w:tc>
          <w:tcPr>
            <w:tcW w:w="1980" w:type="dxa"/>
          </w:tcPr>
          <w:p w14:paraId="11989CD4" w14:textId="77777777" w:rsidR="00DC4434" w:rsidRPr="009873EE" w:rsidRDefault="00DC4434" w:rsidP="00947C27">
            <w:pPr>
              <w:spacing w:before="100" w:beforeAutospacing="1" w:after="100" w:afterAutospacing="1"/>
              <w:rPr>
                <w:rFonts w:ascii="Calibri" w:hAnsi="Calibri"/>
                <w:b/>
                <w:bCs/>
                <w:lang w:val="en-GB"/>
              </w:rPr>
            </w:pPr>
            <w:r w:rsidRPr="009873EE">
              <w:rPr>
                <w:rFonts w:ascii="Calibri" w:hAnsi="Calibri"/>
                <w:b/>
                <w:bCs/>
                <w:lang w:val="en-GB"/>
              </w:rPr>
              <w:t>Component</w:t>
            </w:r>
          </w:p>
        </w:tc>
        <w:tc>
          <w:tcPr>
            <w:tcW w:w="2410" w:type="dxa"/>
          </w:tcPr>
          <w:p w14:paraId="26C52132" w14:textId="77777777" w:rsidR="00DC4434" w:rsidRPr="009873EE" w:rsidRDefault="00DC4434" w:rsidP="00947C27">
            <w:pPr>
              <w:spacing w:before="100" w:beforeAutospacing="1" w:after="100" w:afterAutospacing="1"/>
              <w:rPr>
                <w:rFonts w:ascii="Calibri" w:hAnsi="Calibri"/>
                <w:b/>
                <w:bCs/>
                <w:lang w:val="en-GB"/>
              </w:rPr>
            </w:pPr>
            <w:r w:rsidRPr="009873EE">
              <w:rPr>
                <w:rFonts w:ascii="Calibri" w:hAnsi="Calibri"/>
                <w:b/>
                <w:bCs/>
                <w:lang w:val="en-GB"/>
              </w:rPr>
              <w:t>Key 1</w:t>
            </w:r>
          </w:p>
        </w:tc>
        <w:tc>
          <w:tcPr>
            <w:tcW w:w="1842" w:type="dxa"/>
          </w:tcPr>
          <w:p w14:paraId="73974D22" w14:textId="77777777" w:rsidR="00DC4434" w:rsidRPr="009873EE" w:rsidRDefault="00DC4434" w:rsidP="00947C27">
            <w:pPr>
              <w:spacing w:before="100" w:beforeAutospacing="1" w:after="100" w:afterAutospacing="1"/>
              <w:rPr>
                <w:rFonts w:ascii="Calibri" w:hAnsi="Calibri"/>
                <w:b/>
                <w:bCs/>
                <w:lang w:val="en-GB"/>
              </w:rPr>
            </w:pPr>
            <w:r w:rsidRPr="009873EE">
              <w:rPr>
                <w:rFonts w:ascii="Calibri" w:hAnsi="Calibri"/>
                <w:b/>
                <w:bCs/>
                <w:lang w:val="en-GB"/>
              </w:rPr>
              <w:t>Key 2</w:t>
            </w:r>
          </w:p>
        </w:tc>
      </w:tr>
      <w:tr w:rsidR="00DC4434" w:rsidRPr="009873EE" w14:paraId="5BEB41F5" w14:textId="77777777" w:rsidTr="00947C27">
        <w:tc>
          <w:tcPr>
            <w:tcW w:w="1980" w:type="dxa"/>
          </w:tcPr>
          <w:p w14:paraId="07459938" w14:textId="77777777" w:rsidR="00DC4434" w:rsidRPr="009873EE" w:rsidRDefault="00DC4434" w:rsidP="00947C27">
            <w:pPr>
              <w:spacing w:before="100" w:beforeAutospacing="1" w:after="100" w:afterAutospacing="1"/>
              <w:rPr>
                <w:rFonts w:ascii="Calibri" w:hAnsi="Calibri"/>
                <w:lang w:val="en-GB"/>
              </w:rPr>
            </w:pPr>
            <w:r w:rsidRPr="009873EE">
              <w:rPr>
                <w:rFonts w:ascii="Calibri" w:hAnsi="Calibri"/>
                <w:lang w:val="en-GB"/>
              </w:rPr>
              <w:t>Power K1</w:t>
            </w:r>
          </w:p>
        </w:tc>
        <w:tc>
          <w:tcPr>
            <w:tcW w:w="2410" w:type="dxa"/>
          </w:tcPr>
          <w:p w14:paraId="1413A734" w14:textId="77777777" w:rsidR="00DC4434" w:rsidRPr="009873EE" w:rsidRDefault="00DC4434" w:rsidP="00947C27">
            <w:pPr>
              <w:spacing w:before="100" w:beforeAutospacing="1" w:after="100" w:afterAutospacing="1"/>
              <w:rPr>
                <w:rFonts w:ascii="Calibri" w:hAnsi="Calibri"/>
                <w:lang w:val="en-GB"/>
              </w:rPr>
            </w:pPr>
            <w:r w:rsidRPr="009873EE">
              <w:rPr>
                <w:rFonts w:ascii="Calibri" w:hAnsi="Calibri"/>
                <w:lang w:val="en-GB"/>
              </w:rPr>
              <w:t>Main key</w:t>
            </w:r>
          </w:p>
        </w:tc>
        <w:tc>
          <w:tcPr>
            <w:tcW w:w="1842" w:type="dxa"/>
          </w:tcPr>
          <w:p w14:paraId="51022FA9" w14:textId="77777777" w:rsidR="00DC4434" w:rsidRPr="009873EE" w:rsidRDefault="00DC4434" w:rsidP="00947C27">
            <w:pPr>
              <w:spacing w:before="100" w:beforeAutospacing="1" w:after="100" w:afterAutospacing="1"/>
              <w:rPr>
                <w:rFonts w:ascii="Calibri" w:hAnsi="Calibri"/>
                <w:color w:val="C0504D" w:themeColor="accent2"/>
                <w:lang w:val="en-GB"/>
              </w:rPr>
            </w:pPr>
            <w:r w:rsidRPr="009873EE">
              <w:rPr>
                <w:rFonts w:ascii="Calibri" w:hAnsi="Calibri"/>
                <w:color w:val="C0504D" w:themeColor="accent2"/>
                <w:lang w:val="en-GB"/>
              </w:rPr>
              <w:t>Orange</w:t>
            </w:r>
          </w:p>
        </w:tc>
      </w:tr>
      <w:tr w:rsidR="00DC4434" w:rsidRPr="009873EE" w14:paraId="302F3D2C" w14:textId="77777777" w:rsidTr="00947C27">
        <w:tc>
          <w:tcPr>
            <w:tcW w:w="1980" w:type="dxa"/>
          </w:tcPr>
          <w:p w14:paraId="6B4E2C7E" w14:textId="77777777" w:rsidR="00DC4434" w:rsidRPr="009873EE" w:rsidRDefault="00DC4434" w:rsidP="00947C27">
            <w:pPr>
              <w:spacing w:before="100" w:beforeAutospacing="1" w:after="100" w:afterAutospacing="1"/>
              <w:rPr>
                <w:rFonts w:ascii="Calibri" w:hAnsi="Calibri"/>
                <w:lang w:val="en-GB"/>
              </w:rPr>
            </w:pPr>
            <w:r w:rsidRPr="009873EE">
              <w:rPr>
                <w:rFonts w:ascii="Calibri" w:hAnsi="Calibri"/>
                <w:lang w:val="en-GB"/>
              </w:rPr>
              <w:lastRenderedPageBreak/>
              <w:t>Va</w:t>
            </w:r>
          </w:p>
        </w:tc>
        <w:tc>
          <w:tcPr>
            <w:tcW w:w="2410" w:type="dxa"/>
          </w:tcPr>
          <w:p w14:paraId="310DCB78" w14:textId="77777777" w:rsidR="00DC4434" w:rsidRPr="009873EE" w:rsidRDefault="00DC4434" w:rsidP="00947C27">
            <w:pPr>
              <w:spacing w:before="100" w:beforeAutospacing="1" w:after="100" w:afterAutospacing="1"/>
              <w:rPr>
                <w:rFonts w:ascii="Calibri" w:hAnsi="Calibri"/>
                <w:lang w:val="en-GB"/>
              </w:rPr>
            </w:pPr>
            <w:r w:rsidRPr="009873EE">
              <w:rPr>
                <w:rFonts w:ascii="Calibri" w:hAnsi="Calibri"/>
                <w:color w:val="4BACC6" w:themeColor="accent5"/>
                <w:lang w:val="en-GB"/>
              </w:rPr>
              <w:t>Light blue</w:t>
            </w:r>
          </w:p>
        </w:tc>
        <w:tc>
          <w:tcPr>
            <w:tcW w:w="1842" w:type="dxa"/>
          </w:tcPr>
          <w:p w14:paraId="7943916F" w14:textId="77777777" w:rsidR="00DC4434" w:rsidRPr="009873EE" w:rsidRDefault="00DC4434" w:rsidP="00947C27">
            <w:pPr>
              <w:spacing w:before="100" w:beforeAutospacing="1" w:after="100" w:afterAutospacing="1"/>
              <w:rPr>
                <w:rFonts w:ascii="Calibri" w:hAnsi="Calibri"/>
                <w:color w:val="C0504D" w:themeColor="accent2"/>
                <w:lang w:val="en-GB"/>
              </w:rPr>
            </w:pPr>
            <w:r w:rsidRPr="009873EE">
              <w:rPr>
                <w:rFonts w:ascii="Calibri" w:hAnsi="Calibri"/>
                <w:color w:val="C0504D" w:themeColor="accent2"/>
                <w:lang w:val="en-GB"/>
              </w:rPr>
              <w:t>Orange</w:t>
            </w:r>
          </w:p>
        </w:tc>
      </w:tr>
      <w:tr w:rsidR="00DC4434" w:rsidRPr="009873EE" w14:paraId="0AFE0FEB" w14:textId="77777777" w:rsidTr="00947C27">
        <w:tc>
          <w:tcPr>
            <w:tcW w:w="1980" w:type="dxa"/>
          </w:tcPr>
          <w:p w14:paraId="1F4A7F8D" w14:textId="77777777" w:rsidR="00DC4434" w:rsidRPr="009873EE" w:rsidRDefault="00DC4434" w:rsidP="00947C27">
            <w:pPr>
              <w:spacing w:before="100" w:beforeAutospacing="1" w:after="100" w:afterAutospacing="1"/>
              <w:rPr>
                <w:rFonts w:ascii="Calibri" w:hAnsi="Calibri"/>
                <w:lang w:val="en-GB"/>
              </w:rPr>
            </w:pPr>
            <w:r w:rsidRPr="009873EE">
              <w:rPr>
                <w:rFonts w:ascii="Calibri" w:hAnsi="Calibri"/>
                <w:lang w:val="en-GB"/>
              </w:rPr>
              <w:t>Vb</w:t>
            </w:r>
          </w:p>
        </w:tc>
        <w:tc>
          <w:tcPr>
            <w:tcW w:w="2410" w:type="dxa"/>
          </w:tcPr>
          <w:p w14:paraId="080C1167" w14:textId="77777777" w:rsidR="00DC4434" w:rsidRPr="009873EE" w:rsidRDefault="00DC4434" w:rsidP="00947C27">
            <w:pPr>
              <w:spacing w:before="100" w:beforeAutospacing="1" w:after="100" w:afterAutospacing="1"/>
              <w:rPr>
                <w:rFonts w:ascii="Calibri" w:hAnsi="Calibri"/>
                <w:lang w:val="en-GB"/>
              </w:rPr>
            </w:pPr>
            <w:r w:rsidRPr="009873EE">
              <w:rPr>
                <w:rFonts w:ascii="Calibri" w:hAnsi="Calibri"/>
                <w:color w:val="F79646" w:themeColor="accent6"/>
                <w:lang w:val="en-GB"/>
              </w:rPr>
              <w:t>Green</w:t>
            </w:r>
          </w:p>
        </w:tc>
        <w:tc>
          <w:tcPr>
            <w:tcW w:w="1842" w:type="dxa"/>
          </w:tcPr>
          <w:p w14:paraId="52045357" w14:textId="77777777" w:rsidR="00DC4434" w:rsidRPr="009873EE" w:rsidRDefault="00DC4434" w:rsidP="00947C27">
            <w:pPr>
              <w:spacing w:before="100" w:beforeAutospacing="1" w:after="100" w:afterAutospacing="1"/>
              <w:rPr>
                <w:rFonts w:ascii="Calibri" w:hAnsi="Calibri"/>
                <w:lang w:val="en-GB"/>
              </w:rPr>
            </w:pPr>
            <w:r w:rsidRPr="009873EE">
              <w:rPr>
                <w:rFonts w:ascii="Calibri" w:hAnsi="Calibri"/>
                <w:color w:val="4BACC6" w:themeColor="accent5"/>
                <w:lang w:val="en-GB"/>
              </w:rPr>
              <w:t>Light blue</w:t>
            </w:r>
          </w:p>
        </w:tc>
      </w:tr>
      <w:tr w:rsidR="00DC4434" w:rsidRPr="009873EE" w14:paraId="6B0C1DC7" w14:textId="77777777" w:rsidTr="00947C27">
        <w:tc>
          <w:tcPr>
            <w:tcW w:w="1980" w:type="dxa"/>
          </w:tcPr>
          <w:p w14:paraId="4FB55FA5" w14:textId="77777777" w:rsidR="00DC4434" w:rsidRPr="009873EE" w:rsidRDefault="00DC4434" w:rsidP="00947C27">
            <w:pPr>
              <w:spacing w:before="100" w:beforeAutospacing="1" w:after="100" w:afterAutospacing="1"/>
              <w:rPr>
                <w:rFonts w:ascii="Calibri" w:hAnsi="Calibri"/>
                <w:lang w:val="en-GB"/>
              </w:rPr>
            </w:pPr>
            <w:r w:rsidRPr="009873EE">
              <w:rPr>
                <w:rFonts w:ascii="Calibri" w:hAnsi="Calibri"/>
                <w:lang w:val="en-GB"/>
              </w:rPr>
              <w:t>Power K2</w:t>
            </w:r>
          </w:p>
        </w:tc>
        <w:tc>
          <w:tcPr>
            <w:tcW w:w="2410" w:type="dxa"/>
          </w:tcPr>
          <w:p w14:paraId="7C231C66" w14:textId="77777777" w:rsidR="00DC4434" w:rsidRPr="009873EE" w:rsidRDefault="00DC4434" w:rsidP="00947C27">
            <w:pPr>
              <w:spacing w:before="100" w:beforeAutospacing="1" w:after="100" w:afterAutospacing="1"/>
              <w:rPr>
                <w:rFonts w:ascii="Calibri" w:hAnsi="Calibri"/>
                <w:lang w:val="en-GB"/>
              </w:rPr>
            </w:pPr>
            <w:r w:rsidRPr="009873EE">
              <w:rPr>
                <w:rFonts w:ascii="Calibri" w:hAnsi="Calibri"/>
                <w:lang w:val="en-GB"/>
              </w:rPr>
              <w:t>Main key</w:t>
            </w:r>
          </w:p>
        </w:tc>
        <w:tc>
          <w:tcPr>
            <w:tcW w:w="1842" w:type="dxa"/>
          </w:tcPr>
          <w:p w14:paraId="6A055EA0" w14:textId="77777777" w:rsidR="00DC4434" w:rsidRPr="009873EE" w:rsidRDefault="00DC4434" w:rsidP="00947C27">
            <w:pPr>
              <w:spacing w:before="100" w:beforeAutospacing="1" w:after="100" w:afterAutospacing="1"/>
              <w:rPr>
                <w:rFonts w:ascii="Calibri" w:hAnsi="Calibri"/>
                <w:color w:val="FF0000"/>
                <w:lang w:val="en-GB"/>
              </w:rPr>
            </w:pPr>
            <w:r w:rsidRPr="009873EE">
              <w:rPr>
                <w:rFonts w:ascii="Calibri" w:hAnsi="Calibri"/>
                <w:color w:val="FF0000"/>
                <w:lang w:val="en-GB"/>
              </w:rPr>
              <w:t>Red</w:t>
            </w:r>
          </w:p>
        </w:tc>
      </w:tr>
      <w:tr w:rsidR="00DC4434" w:rsidRPr="009873EE" w14:paraId="195FE4E2" w14:textId="77777777" w:rsidTr="00947C27">
        <w:tc>
          <w:tcPr>
            <w:tcW w:w="1980" w:type="dxa"/>
          </w:tcPr>
          <w:p w14:paraId="4ADF4C96" w14:textId="77777777" w:rsidR="00DC4434" w:rsidRPr="009873EE" w:rsidRDefault="00DC4434" w:rsidP="00947C27">
            <w:pPr>
              <w:spacing w:before="100" w:beforeAutospacing="1" w:after="100" w:afterAutospacing="1"/>
              <w:rPr>
                <w:rFonts w:ascii="Calibri" w:hAnsi="Calibri"/>
                <w:lang w:val="en-GB"/>
              </w:rPr>
            </w:pPr>
            <w:r w:rsidRPr="009873EE">
              <w:rPr>
                <w:rFonts w:ascii="Calibri" w:hAnsi="Calibri"/>
                <w:lang w:val="en-GB"/>
              </w:rPr>
              <w:t>Vc</w:t>
            </w:r>
          </w:p>
        </w:tc>
        <w:tc>
          <w:tcPr>
            <w:tcW w:w="2410" w:type="dxa"/>
          </w:tcPr>
          <w:p w14:paraId="7389E28B" w14:textId="77777777" w:rsidR="00DC4434" w:rsidRPr="009873EE" w:rsidRDefault="00DC4434" w:rsidP="00947C27">
            <w:pPr>
              <w:spacing w:before="100" w:beforeAutospacing="1" w:after="100" w:afterAutospacing="1"/>
              <w:rPr>
                <w:rFonts w:ascii="Calibri" w:hAnsi="Calibri"/>
                <w:lang w:val="en-GB"/>
              </w:rPr>
            </w:pPr>
            <w:r w:rsidRPr="009873EE">
              <w:rPr>
                <w:rFonts w:ascii="Calibri" w:hAnsi="Calibri"/>
                <w:color w:val="92D050"/>
                <w:lang w:val="en-GB"/>
              </w:rPr>
              <w:t>Light green</w:t>
            </w:r>
          </w:p>
        </w:tc>
        <w:tc>
          <w:tcPr>
            <w:tcW w:w="1842" w:type="dxa"/>
          </w:tcPr>
          <w:p w14:paraId="0BC4D65A" w14:textId="77777777" w:rsidR="00DC4434" w:rsidRPr="009873EE" w:rsidRDefault="00DC4434" w:rsidP="00947C27">
            <w:pPr>
              <w:spacing w:before="100" w:beforeAutospacing="1" w:after="100" w:afterAutospacing="1"/>
              <w:rPr>
                <w:rFonts w:ascii="Calibri" w:hAnsi="Calibri"/>
                <w:color w:val="FF0000"/>
                <w:lang w:val="en-GB"/>
              </w:rPr>
            </w:pPr>
            <w:r w:rsidRPr="009873EE">
              <w:rPr>
                <w:rFonts w:ascii="Calibri" w:hAnsi="Calibri"/>
                <w:color w:val="4F81BD" w:themeColor="accent1"/>
                <w:lang w:val="en-GB"/>
              </w:rPr>
              <w:t>Dark blue</w:t>
            </w:r>
          </w:p>
        </w:tc>
      </w:tr>
      <w:tr w:rsidR="00DC4434" w:rsidRPr="009873EE" w14:paraId="361122DD" w14:textId="77777777" w:rsidTr="00947C27">
        <w:tc>
          <w:tcPr>
            <w:tcW w:w="1980" w:type="dxa"/>
          </w:tcPr>
          <w:p w14:paraId="0EDC6FB2" w14:textId="77777777" w:rsidR="00DC4434" w:rsidRPr="009873EE" w:rsidRDefault="00DC4434" w:rsidP="00947C27">
            <w:pPr>
              <w:spacing w:before="100" w:beforeAutospacing="1" w:after="100" w:afterAutospacing="1"/>
              <w:rPr>
                <w:rFonts w:ascii="Calibri" w:hAnsi="Calibri"/>
                <w:lang w:val="en-GB"/>
              </w:rPr>
            </w:pPr>
            <w:r w:rsidRPr="009873EE">
              <w:rPr>
                <w:rFonts w:ascii="Calibri" w:hAnsi="Calibri"/>
                <w:lang w:val="en-GB"/>
              </w:rPr>
              <w:t>Vd</w:t>
            </w:r>
          </w:p>
        </w:tc>
        <w:tc>
          <w:tcPr>
            <w:tcW w:w="2410" w:type="dxa"/>
          </w:tcPr>
          <w:p w14:paraId="39B5BEFB" w14:textId="77777777" w:rsidR="00DC4434" w:rsidRPr="009873EE" w:rsidRDefault="00DC4434" w:rsidP="00947C27">
            <w:pPr>
              <w:spacing w:before="100" w:beforeAutospacing="1" w:after="100" w:afterAutospacing="1"/>
              <w:rPr>
                <w:rFonts w:ascii="Calibri" w:hAnsi="Calibri"/>
                <w:lang w:val="en-GB"/>
              </w:rPr>
            </w:pPr>
            <w:r w:rsidRPr="009873EE">
              <w:rPr>
                <w:rFonts w:ascii="Calibri" w:hAnsi="Calibri"/>
                <w:color w:val="4F81BD" w:themeColor="accent1"/>
                <w:lang w:val="en-GB"/>
              </w:rPr>
              <w:t>Dark blue</w:t>
            </w:r>
          </w:p>
        </w:tc>
        <w:tc>
          <w:tcPr>
            <w:tcW w:w="1842" w:type="dxa"/>
          </w:tcPr>
          <w:p w14:paraId="0C6C6952" w14:textId="77777777" w:rsidR="00DC4434" w:rsidRPr="009873EE" w:rsidRDefault="00DC4434" w:rsidP="00947C27">
            <w:pPr>
              <w:spacing w:before="100" w:beforeAutospacing="1" w:after="100" w:afterAutospacing="1"/>
              <w:rPr>
                <w:rFonts w:ascii="Calibri" w:hAnsi="Calibri"/>
                <w:lang w:val="en-GB"/>
              </w:rPr>
            </w:pPr>
            <w:r w:rsidRPr="009873EE">
              <w:rPr>
                <w:rFonts w:ascii="Calibri" w:hAnsi="Calibri"/>
                <w:color w:val="FF0000"/>
                <w:lang w:val="en-GB"/>
              </w:rPr>
              <w:t>Red</w:t>
            </w:r>
          </w:p>
        </w:tc>
      </w:tr>
    </w:tbl>
    <w:p w14:paraId="4A735B57" w14:textId="77777777" w:rsidR="00DC4434" w:rsidRDefault="00DC4434" w:rsidP="00DC4434">
      <w:pPr>
        <w:spacing w:before="100" w:beforeAutospacing="1" w:after="100" w:afterAutospacing="1"/>
        <w:rPr>
          <w:rFonts w:ascii="Calibri" w:hAnsi="Calibri"/>
          <w:lang w:val="en-GB"/>
        </w:rPr>
      </w:pPr>
    </w:p>
    <w:p w14:paraId="4683F764" w14:textId="77777777" w:rsidR="00DC4434" w:rsidRDefault="00DC4434" w:rsidP="00DC4434">
      <w:pPr>
        <w:spacing w:before="100" w:beforeAutospacing="1" w:after="100" w:afterAutospacing="1"/>
        <w:rPr>
          <w:rFonts w:ascii="Calibri" w:hAnsi="Calibri"/>
          <w:lang w:val="en-GB"/>
        </w:rPr>
      </w:pPr>
      <w:r>
        <w:rPr>
          <w:rFonts w:ascii="Calibri" w:hAnsi="Calibri"/>
          <w:lang w:val="en-GB"/>
        </w:rPr>
        <w:t>Regard the system in figure 2 which comprises of 2 boiler vessels Kjel 1 and Kjel 2. In the case below the PSV K2 is to be locked out for maintenance.</w:t>
      </w:r>
    </w:p>
    <w:p w14:paraId="4FB6888D" w14:textId="77777777" w:rsidR="00DC4434" w:rsidRDefault="00DC4434" w:rsidP="00DC4434">
      <w:pPr>
        <w:spacing w:before="100" w:beforeAutospacing="1" w:after="100" w:afterAutospacing="1"/>
        <w:rPr>
          <w:rFonts w:ascii="Calibri" w:hAnsi="Calibri"/>
          <w:lang w:val="en-GB"/>
        </w:rPr>
      </w:pPr>
      <w:r>
        <w:rPr>
          <w:rFonts w:ascii="Calibri" w:hAnsi="Calibri"/>
          <w:lang w:val="en-GB"/>
        </w:rPr>
        <w:t xml:space="preserve">Step 1: </w:t>
      </w:r>
    </w:p>
    <w:p w14:paraId="28A15F2B" w14:textId="77777777" w:rsidR="00DC4434" w:rsidRDefault="00DC4434" w:rsidP="00DC4434">
      <w:pPr>
        <w:spacing w:before="100" w:beforeAutospacing="1" w:after="100" w:afterAutospacing="1"/>
        <w:rPr>
          <w:rFonts w:ascii="Calibri" w:hAnsi="Calibri"/>
          <w:lang w:val="en-GB"/>
        </w:rPr>
      </w:pPr>
      <w:r>
        <w:rPr>
          <w:rFonts w:ascii="Calibri" w:hAnsi="Calibri"/>
          <w:lang w:val="en-GB"/>
        </w:rPr>
        <w:t xml:space="preserve">The first step is to retrieve the key that is placed in the Boiler steering system “power K2”. This key can only be retrieved if the power of the boiler is disconnected otherwise the key can not be removed from its lock. The main key is placed and the power is turned off. At this point the red key is released. </w:t>
      </w:r>
    </w:p>
    <w:p w14:paraId="51CCB535" w14:textId="77777777" w:rsidR="00DC4434" w:rsidRDefault="00DC4434" w:rsidP="00DC4434">
      <w:pPr>
        <w:spacing w:before="100" w:beforeAutospacing="1" w:after="100" w:afterAutospacing="1"/>
        <w:rPr>
          <w:rFonts w:ascii="Calibri" w:hAnsi="Calibri"/>
          <w:lang w:val="en-GB"/>
        </w:rPr>
      </w:pPr>
      <w:r>
        <w:rPr>
          <w:rFonts w:ascii="Calibri" w:hAnsi="Calibri"/>
          <w:lang w:val="en-GB"/>
        </w:rPr>
        <w:t>Step 2:</w:t>
      </w:r>
    </w:p>
    <w:p w14:paraId="3550A21F" w14:textId="77777777" w:rsidR="00DC4434" w:rsidRDefault="00DC4434" w:rsidP="00DC4434">
      <w:pPr>
        <w:spacing w:before="100" w:beforeAutospacing="1" w:after="100" w:afterAutospacing="1"/>
        <w:rPr>
          <w:rFonts w:ascii="Calibri" w:hAnsi="Calibri"/>
          <w:lang w:val="en-GB"/>
        </w:rPr>
      </w:pPr>
      <w:r>
        <w:rPr>
          <w:rFonts w:ascii="Calibri" w:hAnsi="Calibri"/>
          <w:lang w:val="en-GB"/>
        </w:rPr>
        <w:t xml:space="preserve">The key (red) is then placed into valve Vd, this valve has now two keys 1 from Power K2 and 1 already in Vd (Figure 3). Valve Vd is closed and the key Vd (Dark blue) is released and can be removed. This means that at this point the valve is locked and Key Vd (Dark blue) is free. </w:t>
      </w:r>
    </w:p>
    <w:p w14:paraId="7168605E" w14:textId="77777777" w:rsidR="00DC4434" w:rsidRDefault="00DC4434" w:rsidP="00DC4434">
      <w:pPr>
        <w:spacing w:before="100" w:beforeAutospacing="1" w:after="100" w:afterAutospacing="1"/>
        <w:rPr>
          <w:rFonts w:ascii="Calibri" w:hAnsi="Calibri"/>
          <w:lang w:val="en-GB"/>
        </w:rPr>
      </w:pPr>
      <w:r>
        <w:rPr>
          <w:rFonts w:ascii="Calibri" w:hAnsi="Calibri"/>
          <w:lang w:val="en-GB"/>
        </w:rPr>
        <w:t xml:space="preserve">Step 3: </w:t>
      </w:r>
    </w:p>
    <w:p w14:paraId="4C45DF92" w14:textId="77777777" w:rsidR="00DC4434" w:rsidRDefault="00DC4434" w:rsidP="00DC4434">
      <w:pPr>
        <w:spacing w:before="100" w:beforeAutospacing="1" w:after="100" w:afterAutospacing="1"/>
        <w:rPr>
          <w:rFonts w:ascii="Calibri" w:hAnsi="Calibri"/>
          <w:lang w:val="en-GB"/>
        </w:rPr>
      </w:pPr>
      <w:r>
        <w:rPr>
          <w:rFonts w:ascii="Calibri" w:hAnsi="Calibri"/>
          <w:lang w:val="en-GB"/>
        </w:rPr>
        <w:t xml:space="preserve">Key Vd is taken to valve Vc. The key Vd is placed in valve Vc and the valve can be closed key Vc (light green) is removed after the valve is locked. </w:t>
      </w:r>
    </w:p>
    <w:p w14:paraId="2F9ED3C2" w14:textId="77777777" w:rsidR="00DC4434" w:rsidRDefault="00DC4434" w:rsidP="00DC4434">
      <w:pPr>
        <w:spacing w:before="100" w:beforeAutospacing="1" w:after="100" w:afterAutospacing="1"/>
        <w:rPr>
          <w:rFonts w:ascii="Calibri" w:hAnsi="Calibri"/>
          <w:lang w:val="en-GB"/>
        </w:rPr>
      </w:pPr>
      <w:r>
        <w:rPr>
          <w:rFonts w:ascii="Calibri" w:hAnsi="Calibri"/>
          <w:lang w:val="en-GB"/>
        </w:rPr>
        <w:t xml:space="preserve">Step 4: </w:t>
      </w:r>
    </w:p>
    <w:p w14:paraId="7B2E8CA5" w14:textId="77777777" w:rsidR="00DC4434" w:rsidRDefault="00DC4434" w:rsidP="00DC4434">
      <w:pPr>
        <w:spacing w:before="100" w:beforeAutospacing="1" w:after="100" w:afterAutospacing="1"/>
        <w:rPr>
          <w:rFonts w:ascii="Calibri" w:hAnsi="Calibri"/>
          <w:lang w:val="en-GB"/>
        </w:rPr>
      </w:pPr>
      <w:r>
        <w:rPr>
          <w:rFonts w:ascii="Calibri" w:hAnsi="Calibri"/>
          <w:lang w:val="en-GB"/>
        </w:rPr>
        <w:t>Key Vc (Light green) is then taken to the LOTO box or another secure place and the system is signed off for being isolated.</w:t>
      </w:r>
    </w:p>
    <w:p w14:paraId="43D6879C" w14:textId="77777777" w:rsidR="00DC4434" w:rsidRDefault="00DC4434" w:rsidP="00DC4434">
      <w:pPr>
        <w:spacing w:before="100" w:beforeAutospacing="1" w:after="100" w:afterAutospacing="1"/>
        <w:rPr>
          <w:rFonts w:ascii="Calibri" w:hAnsi="Calibri"/>
          <w:lang w:val="en-GB"/>
        </w:rPr>
      </w:pPr>
      <w:r>
        <w:rPr>
          <w:rFonts w:ascii="Calibri" w:hAnsi="Calibri"/>
          <w:lang w:val="en-GB"/>
        </w:rPr>
        <w:t>Opening the system means the procedure needs to be performed in reversed order.</w:t>
      </w:r>
    </w:p>
    <w:p w14:paraId="181D3448" w14:textId="77777777" w:rsidR="00DC4434" w:rsidRDefault="00DC4434" w:rsidP="00DC4434">
      <w:pPr>
        <w:spacing w:before="100" w:beforeAutospacing="1" w:after="100" w:afterAutospacing="1"/>
        <w:rPr>
          <w:rFonts w:ascii="Calibri" w:hAnsi="Calibri"/>
          <w:lang w:val="en-GB"/>
        </w:rPr>
      </w:pPr>
    </w:p>
    <w:bookmarkEnd w:id="11"/>
    <w:p w14:paraId="336B6202" w14:textId="77777777" w:rsidR="00DC4434" w:rsidRDefault="00DC4434" w:rsidP="00DC4434">
      <w:pPr>
        <w:pStyle w:val="Maintext"/>
        <w:keepNext/>
      </w:pPr>
      <w:r>
        <w:rPr>
          <w:noProof/>
        </w:rPr>
        <w:lastRenderedPageBreak/>
        <w:drawing>
          <wp:inline distT="0" distB="0" distL="0" distR="0" wp14:anchorId="1EC863BB" wp14:editId="08A6C6AB">
            <wp:extent cx="5353050" cy="8262701"/>
            <wp:effectExtent l="0" t="0" r="0" b="508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54081" cy="8264293"/>
                    </a:xfrm>
                    <a:prstGeom prst="rect">
                      <a:avLst/>
                    </a:prstGeom>
                    <a:noFill/>
                    <a:ln>
                      <a:noFill/>
                    </a:ln>
                  </pic:spPr>
                </pic:pic>
              </a:graphicData>
            </a:graphic>
          </wp:inline>
        </w:drawing>
      </w:r>
    </w:p>
    <w:p w14:paraId="399BB4E1" w14:textId="77777777" w:rsidR="00DC4434" w:rsidRDefault="00DC4434" w:rsidP="00DC4434">
      <w:pPr>
        <w:pStyle w:val="Bildetekst"/>
      </w:pPr>
      <w:r>
        <w:lastRenderedPageBreak/>
        <w:t xml:space="preserve">Figure </w:t>
      </w:r>
      <w:r>
        <w:fldChar w:fldCharType="begin"/>
      </w:r>
      <w:r>
        <w:instrText xml:space="preserve"> SEQ Figure \* ARABIC </w:instrText>
      </w:r>
      <w:r>
        <w:fldChar w:fldCharType="separate"/>
      </w:r>
      <w:r>
        <w:rPr>
          <w:noProof/>
        </w:rPr>
        <w:t>2</w:t>
      </w:r>
      <w:r>
        <w:rPr>
          <w:noProof/>
        </w:rPr>
        <w:fldChar w:fldCharType="end"/>
      </w:r>
      <w:r>
        <w:t xml:space="preserve"> Working principle</w:t>
      </w:r>
    </w:p>
    <w:p w14:paraId="2576E086" w14:textId="77777777" w:rsidR="00DC4434" w:rsidRDefault="00DC4434" w:rsidP="00DC4434">
      <w:pPr>
        <w:pStyle w:val="Maintext"/>
      </w:pPr>
    </w:p>
    <w:p w14:paraId="5C9044C7" w14:textId="77777777" w:rsidR="00DC4434" w:rsidRDefault="00DC4434" w:rsidP="00DC4434">
      <w:pPr>
        <w:pStyle w:val="Overskrift1"/>
        <w:widowControl w:val="0"/>
        <w:numPr>
          <w:ilvl w:val="0"/>
          <w:numId w:val="39"/>
        </w:numPr>
        <w:suppressAutoHyphens/>
        <w:autoSpaceDN w:val="0"/>
        <w:spacing w:line="240" w:lineRule="auto"/>
        <w:textAlignment w:val="baseline"/>
        <w:rPr>
          <w:rStyle w:val="Sterkreferanse"/>
          <w:rFonts w:cstheme="minorHAnsi"/>
          <w:b w:val="0"/>
          <w:bCs w:val="0"/>
          <w:smallCaps w:val="0"/>
          <w:sz w:val="28"/>
          <w:lang w:val="en-GB"/>
        </w:rPr>
      </w:pPr>
      <w:r>
        <w:rPr>
          <w:rStyle w:val="Sterkreferanse"/>
          <w:rFonts w:cstheme="minorHAnsi"/>
          <w:b w:val="0"/>
          <w:sz w:val="28"/>
          <w:lang w:val="en-GB"/>
        </w:rPr>
        <w:t xml:space="preserve">Validation of usage </w:t>
      </w:r>
    </w:p>
    <w:p w14:paraId="25AB66CD" w14:textId="77777777" w:rsidR="00DC4434" w:rsidRDefault="00DC4434" w:rsidP="00DC4434">
      <w:pPr>
        <w:rPr>
          <w:rFonts w:ascii="Calibri" w:hAnsi="Calibri"/>
          <w:lang w:val="en-GB"/>
        </w:rPr>
      </w:pPr>
    </w:p>
    <w:p w14:paraId="3B939E84" w14:textId="77777777" w:rsidR="00DC4434" w:rsidRDefault="00DC4434" w:rsidP="00DC4434">
      <w:pPr>
        <w:rPr>
          <w:rFonts w:ascii="Calibri" w:hAnsi="Calibri"/>
          <w:lang w:val="en-GB"/>
        </w:rPr>
      </w:pPr>
      <w:r>
        <w:rPr>
          <w:rFonts w:ascii="Calibri" w:hAnsi="Calibri"/>
          <w:lang w:val="en-GB"/>
        </w:rPr>
        <w:t xml:space="preserve">As presented in §2 the general standards for boilers do not allow the use valves in the discharge lines of boilers. This means that the Keylock systems or other type of closing valves can’t be used in discharge lines out from the harmonised standards for these types of equipment. </w:t>
      </w:r>
    </w:p>
    <w:p w14:paraId="2934F1D7" w14:textId="77777777" w:rsidR="00DC4434" w:rsidRDefault="00DC4434" w:rsidP="00DC4434">
      <w:pPr>
        <w:rPr>
          <w:rFonts w:ascii="Calibri" w:hAnsi="Calibri"/>
          <w:lang w:val="en-GB"/>
        </w:rPr>
      </w:pPr>
      <w:r>
        <w:rPr>
          <w:rFonts w:ascii="Calibri" w:hAnsi="Calibri"/>
          <w:lang w:val="en-GB"/>
        </w:rPr>
        <w:t xml:space="preserve">Based on the received information this type of system has a high safety factor. The keys are not interchangeable and valves or other locked equipment can not be operated without a key or with the wrong key inserted. Operating the system requires access to the correct keys and knowledge of the system itself. </w:t>
      </w:r>
    </w:p>
    <w:p w14:paraId="6F2E8E4F" w14:textId="77777777" w:rsidR="00DC4434" w:rsidRPr="004D56FC" w:rsidRDefault="00DC4434" w:rsidP="00DC4434">
      <w:pPr>
        <w:rPr>
          <w:rFonts w:ascii="Calibri" w:hAnsi="Calibri"/>
          <w:lang w:val="en-GB"/>
        </w:rPr>
      </w:pPr>
      <w:r>
        <w:rPr>
          <w:rFonts w:ascii="Calibri" w:hAnsi="Calibri"/>
          <w:lang w:val="en-GB"/>
        </w:rPr>
        <w:t>The system is widely used in the offshore industry and has proven his reliability.  The system has a safety performance level “d” (ISO13849-1) meaning a probability of dangerous failure  per hour (/h) ≥10</w:t>
      </w:r>
      <w:r>
        <w:rPr>
          <w:rFonts w:ascii="Calibri" w:hAnsi="Calibri"/>
          <w:vertAlign w:val="superscript"/>
          <w:lang w:val="en-GB"/>
        </w:rPr>
        <w:t>-8</w:t>
      </w:r>
      <w:r>
        <w:rPr>
          <w:rFonts w:ascii="Calibri" w:hAnsi="Calibri"/>
          <w:lang w:val="en-GB"/>
        </w:rPr>
        <w:t xml:space="preserve"> and &lt; 10</w:t>
      </w:r>
      <w:r>
        <w:rPr>
          <w:rFonts w:ascii="Calibri" w:hAnsi="Calibri"/>
          <w:vertAlign w:val="superscript"/>
          <w:lang w:val="en-GB"/>
        </w:rPr>
        <w:t>-7</w:t>
      </w:r>
      <w:r>
        <w:rPr>
          <w:rFonts w:ascii="Calibri" w:hAnsi="Calibri"/>
          <w:lang w:val="en-GB"/>
        </w:rPr>
        <w:t xml:space="preserve"> thus a 0,000001% to 0,00001% rate. </w:t>
      </w:r>
    </w:p>
    <w:p w14:paraId="6816584B" w14:textId="77777777" w:rsidR="00DC4434" w:rsidRDefault="00DC4434" w:rsidP="00DC4434">
      <w:pPr>
        <w:pStyle w:val="Overskrift1"/>
        <w:widowControl w:val="0"/>
        <w:numPr>
          <w:ilvl w:val="0"/>
          <w:numId w:val="39"/>
        </w:numPr>
        <w:suppressAutoHyphens/>
        <w:autoSpaceDN w:val="0"/>
        <w:spacing w:line="240" w:lineRule="auto"/>
        <w:textAlignment w:val="baseline"/>
        <w:rPr>
          <w:rStyle w:val="Sterkreferanse"/>
          <w:rFonts w:cstheme="minorHAnsi"/>
          <w:b w:val="0"/>
          <w:bCs w:val="0"/>
          <w:smallCaps w:val="0"/>
          <w:sz w:val="28"/>
          <w:lang w:val="en-GB"/>
        </w:rPr>
      </w:pPr>
      <w:r>
        <w:rPr>
          <w:rStyle w:val="Sterkreferanse"/>
          <w:rFonts w:cstheme="minorHAnsi"/>
          <w:b w:val="0"/>
          <w:sz w:val="28"/>
          <w:lang w:val="en-GB"/>
        </w:rPr>
        <w:t xml:space="preserve">Conclusion </w:t>
      </w:r>
    </w:p>
    <w:p w14:paraId="3C462F28" w14:textId="77777777" w:rsidR="00DC4434" w:rsidRDefault="00DC4434" w:rsidP="00DC4434">
      <w:pPr>
        <w:rPr>
          <w:rFonts w:ascii="Calibri" w:hAnsi="Calibri"/>
          <w:lang w:val="en-GB"/>
        </w:rPr>
      </w:pPr>
    </w:p>
    <w:p w14:paraId="6B8BD94F" w14:textId="77777777" w:rsidR="00DC4434" w:rsidRDefault="00DC4434" w:rsidP="00DC4434">
      <w:pPr>
        <w:rPr>
          <w:rFonts w:ascii="Calibri" w:hAnsi="Calibri"/>
          <w:lang w:val="en-GB"/>
        </w:rPr>
      </w:pPr>
      <w:r>
        <w:rPr>
          <w:rFonts w:ascii="Calibri" w:hAnsi="Calibri"/>
          <w:lang w:val="en-GB"/>
        </w:rPr>
        <w:t xml:space="preserve">DSE has reviewed the key lock system and the combined failure rate. The result of this validation indicates that this system has a low probability of failure in normal operating situations. </w:t>
      </w:r>
    </w:p>
    <w:p w14:paraId="6F1CAC59" w14:textId="77777777" w:rsidR="00DC4434" w:rsidRDefault="00DC4434" w:rsidP="00DC4434">
      <w:pPr>
        <w:rPr>
          <w:rFonts w:ascii="Calibri" w:hAnsi="Calibri"/>
          <w:lang w:val="en-GB"/>
        </w:rPr>
      </w:pPr>
      <w:r>
        <w:rPr>
          <w:rFonts w:ascii="Calibri" w:hAnsi="Calibri"/>
          <w:lang w:val="en-GB"/>
        </w:rPr>
        <w:t xml:space="preserve">It is important that the implementation of such systems is performed correctly so that every step in the lock out procedure is correct. If the sequence is incorrect the safety of this system is not secured. This shall be taken into account in the risk analysis of the system being secured by the key lock system. </w:t>
      </w:r>
    </w:p>
    <w:p w14:paraId="3A0CCDE4" w14:textId="77777777" w:rsidR="00DC4434" w:rsidRDefault="00DC4434" w:rsidP="00DC4434">
      <w:pPr>
        <w:rPr>
          <w:rFonts w:ascii="Calibri" w:hAnsi="Calibri"/>
          <w:lang w:val="en-GB"/>
        </w:rPr>
      </w:pPr>
      <w:r>
        <w:rPr>
          <w:rFonts w:ascii="Calibri" w:hAnsi="Calibri"/>
          <w:lang w:val="en-GB"/>
        </w:rPr>
        <w:t xml:space="preserve">Based on the information received on the system Dovre Sertifisering AS can approve the use of this type of lock out system in boiler discharge systems. </w:t>
      </w:r>
    </w:p>
    <w:p w14:paraId="18436B8A" w14:textId="77777777" w:rsidR="00DC4434" w:rsidRDefault="00DC4434" w:rsidP="00DC4434">
      <w:pPr>
        <w:rPr>
          <w:rFonts w:ascii="Calibri" w:hAnsi="Calibri"/>
          <w:lang w:val="en-GB"/>
        </w:rPr>
      </w:pPr>
      <w:r>
        <w:rPr>
          <w:rFonts w:ascii="Calibri" w:hAnsi="Calibri"/>
          <w:lang w:val="en-GB"/>
        </w:rPr>
        <w:t xml:space="preserve">However approval will be needed and is reviewed on a case to case basis. </w:t>
      </w:r>
    </w:p>
    <w:p w14:paraId="6D813A16" w14:textId="77777777" w:rsidR="00DC4434" w:rsidRPr="004D56FC" w:rsidRDefault="00DC4434" w:rsidP="00DC4434">
      <w:pPr>
        <w:rPr>
          <w:rFonts w:ascii="Calibri" w:hAnsi="Calibri"/>
          <w:lang w:val="en-GB"/>
        </w:rPr>
      </w:pPr>
    </w:p>
    <w:p w14:paraId="119E5D99" w14:textId="77777777" w:rsidR="00DC4434" w:rsidRDefault="00DC4434" w:rsidP="00DC4434">
      <w:pPr>
        <w:pStyle w:val="Overskrift1"/>
        <w:widowControl w:val="0"/>
        <w:numPr>
          <w:ilvl w:val="0"/>
          <w:numId w:val="39"/>
        </w:numPr>
        <w:suppressAutoHyphens/>
        <w:autoSpaceDN w:val="0"/>
        <w:spacing w:line="240" w:lineRule="auto"/>
        <w:textAlignment w:val="baseline"/>
        <w:rPr>
          <w:rStyle w:val="Sterkreferanse"/>
          <w:rFonts w:cstheme="minorHAnsi"/>
          <w:b w:val="0"/>
          <w:bCs w:val="0"/>
          <w:smallCaps w:val="0"/>
          <w:sz w:val="28"/>
          <w:lang w:val="en-GB"/>
        </w:rPr>
      </w:pPr>
      <w:r>
        <w:rPr>
          <w:rStyle w:val="Sterkreferanse"/>
          <w:rFonts w:cstheme="minorHAnsi"/>
          <w:b w:val="0"/>
          <w:sz w:val="28"/>
          <w:lang w:val="en-GB"/>
        </w:rPr>
        <w:t xml:space="preserve">Information required before approval </w:t>
      </w:r>
    </w:p>
    <w:p w14:paraId="037976F3" w14:textId="77777777" w:rsidR="00DC4434" w:rsidRDefault="00DC4434" w:rsidP="00DC4434">
      <w:pPr>
        <w:rPr>
          <w:rFonts w:ascii="Calibri" w:hAnsi="Calibri"/>
          <w:lang w:val="en-GB"/>
        </w:rPr>
      </w:pPr>
    </w:p>
    <w:p w14:paraId="65D4FCE0" w14:textId="77777777" w:rsidR="00DC4434" w:rsidRDefault="00DC4434" w:rsidP="00DC4434">
      <w:pPr>
        <w:rPr>
          <w:rFonts w:ascii="Calibri" w:hAnsi="Calibri"/>
          <w:lang w:val="en-GB"/>
        </w:rPr>
      </w:pPr>
      <w:r>
        <w:rPr>
          <w:rFonts w:ascii="Calibri" w:hAnsi="Calibri"/>
          <w:lang w:val="en-GB"/>
        </w:rPr>
        <w:t>The following information is required before the Keylock system can be approved for implementation in a safety valve system.</w:t>
      </w:r>
    </w:p>
    <w:p w14:paraId="36F60AD9" w14:textId="77777777" w:rsidR="00DC4434" w:rsidRDefault="00DC4434" w:rsidP="00DC4434">
      <w:pPr>
        <w:pStyle w:val="Listeavsnitt"/>
        <w:widowControl w:val="0"/>
        <w:numPr>
          <w:ilvl w:val="0"/>
          <w:numId w:val="40"/>
        </w:numPr>
        <w:suppressAutoHyphens/>
        <w:autoSpaceDN w:val="0"/>
        <w:spacing w:after="160" w:line="240" w:lineRule="auto"/>
        <w:textAlignment w:val="baseline"/>
        <w:rPr>
          <w:rFonts w:ascii="Calibri" w:hAnsi="Calibri"/>
          <w:lang w:val="en-GB"/>
        </w:rPr>
      </w:pPr>
      <w:r>
        <w:rPr>
          <w:rFonts w:ascii="Calibri" w:hAnsi="Calibri"/>
          <w:lang w:val="en-GB"/>
        </w:rPr>
        <w:t>Risk analysis</w:t>
      </w:r>
    </w:p>
    <w:p w14:paraId="180AE8C6" w14:textId="77777777" w:rsidR="00DC4434" w:rsidRDefault="00DC4434" w:rsidP="00DC4434">
      <w:pPr>
        <w:pStyle w:val="Listeavsnitt"/>
        <w:widowControl w:val="0"/>
        <w:numPr>
          <w:ilvl w:val="0"/>
          <w:numId w:val="40"/>
        </w:numPr>
        <w:suppressAutoHyphens/>
        <w:autoSpaceDN w:val="0"/>
        <w:spacing w:after="160" w:line="240" w:lineRule="auto"/>
        <w:textAlignment w:val="baseline"/>
        <w:rPr>
          <w:rFonts w:ascii="Calibri" w:hAnsi="Calibri"/>
          <w:lang w:val="en-GB"/>
        </w:rPr>
      </w:pPr>
      <w:r>
        <w:rPr>
          <w:rFonts w:ascii="Calibri" w:hAnsi="Calibri"/>
          <w:lang w:val="en-GB"/>
        </w:rPr>
        <w:lastRenderedPageBreak/>
        <w:t>Calculation that the chosen system at least has the same safety level as required in the standards</w:t>
      </w:r>
    </w:p>
    <w:p w14:paraId="7590A169" w14:textId="77777777" w:rsidR="00DC4434" w:rsidRDefault="00DC4434" w:rsidP="00DC4434">
      <w:pPr>
        <w:pStyle w:val="Listeavsnitt"/>
        <w:widowControl w:val="0"/>
        <w:numPr>
          <w:ilvl w:val="0"/>
          <w:numId w:val="40"/>
        </w:numPr>
        <w:suppressAutoHyphens/>
        <w:autoSpaceDN w:val="0"/>
        <w:spacing w:after="160" w:line="240" w:lineRule="auto"/>
        <w:textAlignment w:val="baseline"/>
        <w:rPr>
          <w:rFonts w:ascii="Calibri" w:hAnsi="Calibri"/>
          <w:lang w:val="en-GB"/>
        </w:rPr>
      </w:pPr>
      <w:r>
        <w:rPr>
          <w:rFonts w:ascii="Calibri" w:hAnsi="Calibri"/>
          <w:lang w:val="en-GB"/>
        </w:rPr>
        <w:t xml:space="preserve">Description of the chosen system </w:t>
      </w:r>
    </w:p>
    <w:p w14:paraId="488D1CCD" w14:textId="77777777" w:rsidR="00DC4434" w:rsidRPr="00346DB7" w:rsidRDefault="00DC4434" w:rsidP="00DC4434">
      <w:pPr>
        <w:pStyle w:val="Listeavsnitt"/>
        <w:widowControl w:val="0"/>
        <w:numPr>
          <w:ilvl w:val="0"/>
          <w:numId w:val="40"/>
        </w:numPr>
        <w:suppressAutoHyphens/>
        <w:autoSpaceDN w:val="0"/>
        <w:spacing w:after="160" w:line="240" w:lineRule="auto"/>
        <w:textAlignment w:val="baseline"/>
        <w:rPr>
          <w:rFonts w:ascii="Calibri" w:hAnsi="Calibri"/>
          <w:lang w:val="en-GB"/>
        </w:rPr>
      </w:pPr>
      <w:r>
        <w:rPr>
          <w:rFonts w:ascii="Calibri" w:hAnsi="Calibri"/>
          <w:lang w:val="en-GB"/>
        </w:rPr>
        <w:t>Procedures for usage</w:t>
      </w:r>
    </w:p>
    <w:p w14:paraId="6896AE6D" w14:textId="77777777" w:rsidR="00DC4434" w:rsidRPr="004A4432" w:rsidRDefault="00DC4434" w:rsidP="00DC4434">
      <w:pPr>
        <w:rPr>
          <w:lang w:val="en-GB"/>
        </w:rPr>
      </w:pPr>
    </w:p>
    <w:p w14:paraId="77AE7026" w14:textId="77777777" w:rsidR="00926783" w:rsidRPr="00B43393" w:rsidRDefault="00926783" w:rsidP="00B5447D">
      <w:pPr>
        <w:rPr>
          <w:sz w:val="24"/>
          <w:szCs w:val="24"/>
        </w:rPr>
      </w:pPr>
    </w:p>
    <w:sectPr w:rsidR="00926783" w:rsidRPr="00B43393" w:rsidSect="00CA1AC0">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7C593" w14:textId="77777777" w:rsidR="00B17375" w:rsidRDefault="00B17375" w:rsidP="00B02E93">
      <w:pPr>
        <w:spacing w:after="0" w:line="240" w:lineRule="auto"/>
      </w:pPr>
      <w:r>
        <w:separator/>
      </w:r>
    </w:p>
  </w:endnote>
  <w:endnote w:type="continuationSeparator" w:id="0">
    <w:p w14:paraId="52AA1E65" w14:textId="77777777" w:rsidR="00B17375" w:rsidRDefault="00B17375" w:rsidP="00B02E93">
      <w:pPr>
        <w:spacing w:after="0" w:line="240" w:lineRule="auto"/>
      </w:pPr>
      <w:r>
        <w:continuationSeparator/>
      </w:r>
    </w:p>
  </w:endnote>
  <w:endnote w:type="continuationNotice" w:id="1">
    <w:p w14:paraId="7EDB3C85" w14:textId="77777777" w:rsidR="00B17375" w:rsidRDefault="00B173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roid Sans">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buntu">
    <w:altName w:val="Times New Roman"/>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E18FB" w14:textId="77777777" w:rsidR="00C42280" w:rsidRDefault="00C4228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
      <w:tblW w:w="5174" w:type="pct"/>
      <w:tblInd w:w="-147" w:type="dxa"/>
      <w:tblLayout w:type="fixed"/>
      <w:tblLook w:val="04A0" w:firstRow="1" w:lastRow="0" w:firstColumn="1" w:lastColumn="0" w:noHBand="0" w:noVBand="1"/>
    </w:tblPr>
    <w:tblGrid>
      <w:gridCol w:w="3605"/>
      <w:gridCol w:w="1805"/>
      <w:gridCol w:w="1803"/>
      <w:gridCol w:w="3607"/>
    </w:tblGrid>
    <w:tr w:rsidR="003E5EA1" w14:paraId="28E0A1C2" w14:textId="77777777" w:rsidTr="00200921">
      <w:trPr>
        <w:trHeight w:val="555"/>
      </w:trPr>
      <w:tc>
        <w:tcPr>
          <w:tcW w:w="2500" w:type="pct"/>
          <w:gridSpan w:val="2"/>
          <w:vAlign w:val="center"/>
        </w:tcPr>
        <w:p w14:paraId="79EC21ED" w14:textId="77777777" w:rsidR="003E5EA1" w:rsidRPr="006047C4" w:rsidRDefault="003E5EA1" w:rsidP="00926783">
          <w:pPr>
            <w:rPr>
              <w:b/>
              <w:sz w:val="18"/>
              <w:szCs w:val="18"/>
            </w:rPr>
          </w:pPr>
          <w:r w:rsidRPr="006047C4">
            <w:rPr>
              <w:b/>
              <w:sz w:val="18"/>
              <w:szCs w:val="18"/>
            </w:rPr>
            <w:t>Ansvarlig:</w:t>
          </w:r>
        </w:p>
        <w:p w14:paraId="72DE710A" w14:textId="77777777" w:rsidR="003E5EA1" w:rsidRPr="006047C4" w:rsidRDefault="003E5EA1" w:rsidP="00926783">
          <w:pPr>
            <w:rPr>
              <w:sz w:val="18"/>
              <w:szCs w:val="18"/>
            </w:rPr>
          </w:pPr>
          <w:r>
            <w:rPr>
              <w:noProof/>
              <w:sz w:val="18"/>
              <w:szCs w:val="18"/>
            </w:rPr>
            <w:t>Racime Van den Berg</w:t>
          </w:r>
        </w:p>
      </w:tc>
      <w:tc>
        <w:tcPr>
          <w:tcW w:w="2500" w:type="pct"/>
          <w:gridSpan w:val="2"/>
          <w:vAlign w:val="center"/>
        </w:tcPr>
        <w:p w14:paraId="5AA374DB" w14:textId="77777777" w:rsidR="003E5EA1" w:rsidRPr="006047C4" w:rsidRDefault="003E5EA1" w:rsidP="00926783">
          <w:pPr>
            <w:rPr>
              <w:b/>
              <w:sz w:val="18"/>
              <w:szCs w:val="18"/>
            </w:rPr>
          </w:pPr>
          <w:r w:rsidRPr="006047C4">
            <w:rPr>
              <w:b/>
              <w:sz w:val="18"/>
              <w:szCs w:val="18"/>
            </w:rPr>
            <w:t>Godkjent av:</w:t>
          </w:r>
        </w:p>
        <w:p w14:paraId="4BC6E8DF" w14:textId="77777777" w:rsidR="003E5EA1" w:rsidRPr="006047C4" w:rsidRDefault="003E5EA1" w:rsidP="00926783">
          <w:pPr>
            <w:rPr>
              <w:b/>
              <w:sz w:val="18"/>
              <w:szCs w:val="18"/>
            </w:rPr>
          </w:pPr>
        </w:p>
      </w:tc>
    </w:tr>
    <w:tr w:rsidR="003E5EA1" w14:paraId="01754A9F" w14:textId="77777777" w:rsidTr="00200921">
      <w:trPr>
        <w:trHeight w:val="555"/>
      </w:trPr>
      <w:tc>
        <w:tcPr>
          <w:tcW w:w="1666" w:type="pct"/>
          <w:vAlign w:val="center"/>
        </w:tcPr>
        <w:p w14:paraId="4CAA54C9" w14:textId="77777777" w:rsidR="003E5EA1" w:rsidRPr="006047C4" w:rsidRDefault="003E5EA1" w:rsidP="00926783">
          <w:pPr>
            <w:rPr>
              <w:b/>
              <w:sz w:val="18"/>
              <w:szCs w:val="18"/>
            </w:rPr>
          </w:pPr>
          <w:r>
            <w:rPr>
              <w:b/>
              <w:sz w:val="18"/>
              <w:szCs w:val="18"/>
            </w:rPr>
            <w:t>Versjon</w:t>
          </w:r>
          <w:r w:rsidRPr="006047C4">
            <w:rPr>
              <w:b/>
              <w:sz w:val="18"/>
              <w:szCs w:val="18"/>
            </w:rPr>
            <w:t>:</w:t>
          </w:r>
        </w:p>
        <w:p w14:paraId="3D837D89" w14:textId="77777777" w:rsidR="003E5EA1" w:rsidRPr="006047C4" w:rsidRDefault="003E5EA1" w:rsidP="00926783">
          <w:pPr>
            <w:rPr>
              <w:sz w:val="18"/>
              <w:szCs w:val="18"/>
            </w:rPr>
          </w:pPr>
          <w:r>
            <w:rPr>
              <w:noProof/>
              <w:sz w:val="18"/>
              <w:szCs w:val="18"/>
            </w:rPr>
            <w:t>1</w:t>
          </w:r>
        </w:p>
      </w:tc>
      <w:tc>
        <w:tcPr>
          <w:tcW w:w="1667" w:type="pct"/>
          <w:gridSpan w:val="2"/>
          <w:vAlign w:val="center"/>
        </w:tcPr>
        <w:p w14:paraId="7873B46D" w14:textId="77777777" w:rsidR="003E5EA1" w:rsidRPr="006047C4" w:rsidRDefault="003E5EA1" w:rsidP="00926783">
          <w:pPr>
            <w:rPr>
              <w:b/>
              <w:sz w:val="18"/>
              <w:szCs w:val="18"/>
            </w:rPr>
          </w:pPr>
          <w:r>
            <w:rPr>
              <w:b/>
              <w:sz w:val="18"/>
              <w:szCs w:val="18"/>
            </w:rPr>
            <w:t>Sist revidert</w:t>
          </w:r>
          <w:r w:rsidRPr="006047C4">
            <w:rPr>
              <w:b/>
              <w:sz w:val="18"/>
              <w:szCs w:val="18"/>
            </w:rPr>
            <w:t>:</w:t>
          </w:r>
        </w:p>
        <w:p w14:paraId="09DDBAA1" w14:textId="77777777" w:rsidR="003E5EA1" w:rsidRDefault="003E5EA1" w:rsidP="00926783">
          <w:pPr>
            <w:rPr>
              <w:b/>
              <w:sz w:val="18"/>
              <w:szCs w:val="18"/>
            </w:rPr>
          </w:pPr>
          <w:r>
            <w:rPr>
              <w:noProof/>
              <w:sz w:val="18"/>
              <w:szCs w:val="18"/>
            </w:rPr>
            <w:t>30.12.2020</w:t>
          </w:r>
        </w:p>
      </w:tc>
      <w:tc>
        <w:tcPr>
          <w:tcW w:w="1667" w:type="pct"/>
          <w:vAlign w:val="center"/>
        </w:tcPr>
        <w:p w14:paraId="1A4D5DE0" w14:textId="77777777" w:rsidR="003E5EA1" w:rsidRPr="006047C4" w:rsidRDefault="003E5EA1" w:rsidP="00926783">
          <w:pPr>
            <w:rPr>
              <w:b/>
              <w:sz w:val="18"/>
              <w:szCs w:val="18"/>
            </w:rPr>
          </w:pPr>
          <w:r>
            <w:rPr>
              <w:b/>
              <w:sz w:val="18"/>
              <w:szCs w:val="18"/>
            </w:rPr>
            <w:t>Neste revisjon</w:t>
          </w:r>
          <w:r w:rsidRPr="006047C4">
            <w:rPr>
              <w:b/>
              <w:sz w:val="18"/>
              <w:szCs w:val="18"/>
            </w:rPr>
            <w:t>:</w:t>
          </w:r>
        </w:p>
        <w:p w14:paraId="2517145F" w14:textId="77777777" w:rsidR="003E5EA1" w:rsidRDefault="003E5EA1" w:rsidP="00926783">
          <w:pPr>
            <w:rPr>
              <w:b/>
              <w:sz w:val="18"/>
              <w:szCs w:val="18"/>
            </w:rPr>
          </w:pPr>
        </w:p>
      </w:tc>
    </w:tr>
  </w:tbl>
  <w:p w14:paraId="0BBC5B87" w14:textId="77777777" w:rsidR="003E5EA1" w:rsidRDefault="003E5EA1" w:rsidP="00252B5C">
    <w:pPr>
      <w:pStyle w:val="Bunntekst"/>
      <w:jc w:val="right"/>
    </w:pPr>
  </w:p>
  <w:tbl>
    <w:tblPr>
      <w:tblStyle w:val="Tabellrutenett"/>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6"/>
      <w:gridCol w:w="3071"/>
      <w:gridCol w:w="3323"/>
    </w:tblGrid>
    <w:tr w:rsidR="003E5EA1" w:rsidRPr="008F1E2C" w14:paraId="5E8D3CC7" w14:textId="77777777" w:rsidTr="009D41ED">
      <w:tc>
        <w:tcPr>
          <w:tcW w:w="3246" w:type="dxa"/>
        </w:tcPr>
        <w:p w14:paraId="54101280" w14:textId="77777777" w:rsidR="003E5EA1" w:rsidRPr="008F1E2C" w:rsidRDefault="003E5EA1" w:rsidP="00B75EE4">
          <w:pPr>
            <w:rPr>
              <w:sz w:val="2"/>
              <w:szCs w:val="2"/>
              <w:lang w:val="en-CA"/>
            </w:rPr>
          </w:pPr>
        </w:p>
        <w:p w14:paraId="07A29048" w14:textId="77777777" w:rsidR="003E5EA1" w:rsidRPr="008F1E2C" w:rsidRDefault="003E5EA1" w:rsidP="00C05870">
          <w:pPr>
            <w:tabs>
              <w:tab w:val="left" w:pos="1956"/>
            </w:tabs>
            <w:rPr>
              <w:sz w:val="18"/>
              <w:szCs w:val="18"/>
              <w:lang w:val="en-CA"/>
            </w:rPr>
          </w:pPr>
          <w:r w:rsidRPr="009D41ED">
            <w:rPr>
              <w:sz w:val="18"/>
              <w:szCs w:val="18"/>
            </w:rPr>
            <w:t>ID</w:t>
          </w:r>
          <w:r w:rsidRPr="006047C4">
            <w:rPr>
              <w:b/>
              <w:sz w:val="18"/>
              <w:szCs w:val="18"/>
            </w:rPr>
            <w:t>:</w:t>
          </w:r>
          <w:r>
            <w:rPr>
              <w:b/>
              <w:sz w:val="18"/>
              <w:szCs w:val="18"/>
            </w:rPr>
            <w:t xml:space="preserve"> </w:t>
          </w:r>
          <w:r>
            <w:rPr>
              <w:noProof/>
              <w:sz w:val="18"/>
              <w:szCs w:val="18"/>
            </w:rPr>
            <w:t>477</w:t>
          </w:r>
          <w:r w:rsidR="00C05870">
            <w:rPr>
              <w:sz w:val="18"/>
              <w:szCs w:val="18"/>
            </w:rPr>
            <w:tab/>
          </w:r>
        </w:p>
      </w:tc>
      <w:tc>
        <w:tcPr>
          <w:tcW w:w="3071" w:type="dxa"/>
        </w:tcPr>
        <w:p w14:paraId="0285D8CD" w14:textId="77777777" w:rsidR="003E5EA1" w:rsidRPr="00EA5E5B" w:rsidRDefault="003E5EA1" w:rsidP="00B75EE4">
          <w:pPr>
            <w:jc w:val="center"/>
            <w:rPr>
              <w:b/>
              <w:sz w:val="18"/>
              <w:szCs w:val="18"/>
            </w:rPr>
          </w:pPr>
          <w:r>
            <w:rPr>
              <w:sz w:val="18"/>
              <w:szCs w:val="18"/>
              <w:lang w:val="en-CA"/>
            </w:rPr>
            <w:t>Utskriftsdato</w:t>
          </w:r>
          <w:r w:rsidRPr="008F1E2C">
            <w:rPr>
              <w:sz w:val="18"/>
              <w:szCs w:val="18"/>
              <w:lang w:val="en-CA"/>
            </w:rPr>
            <w:t xml:space="preserve">: </w:t>
          </w:r>
          <w:r w:rsidRPr="008F1E2C">
            <w:rPr>
              <w:sz w:val="18"/>
              <w:szCs w:val="18"/>
              <w:lang w:val="en-CA"/>
            </w:rPr>
            <w:fldChar w:fldCharType="begin"/>
          </w:r>
          <w:r w:rsidRPr="008F1E2C">
            <w:rPr>
              <w:sz w:val="18"/>
              <w:szCs w:val="18"/>
              <w:lang w:val="en-CA"/>
            </w:rPr>
            <w:instrText xml:space="preserve"> TIME \@ "dd.MM.yyyy" </w:instrText>
          </w:r>
          <w:r w:rsidRPr="008F1E2C">
            <w:rPr>
              <w:sz w:val="18"/>
              <w:szCs w:val="18"/>
              <w:lang w:val="en-CA"/>
            </w:rPr>
            <w:fldChar w:fldCharType="separate"/>
          </w:r>
          <w:r w:rsidR="003A4863">
            <w:rPr>
              <w:noProof/>
              <w:sz w:val="18"/>
              <w:szCs w:val="18"/>
              <w:lang w:val="en-CA"/>
            </w:rPr>
            <w:t>22.08.2024</w:t>
          </w:r>
          <w:r w:rsidRPr="008F1E2C">
            <w:rPr>
              <w:sz w:val="18"/>
              <w:szCs w:val="18"/>
              <w:lang w:val="en-CA"/>
            </w:rPr>
            <w:fldChar w:fldCharType="end"/>
          </w:r>
        </w:p>
      </w:tc>
      <w:tc>
        <w:tcPr>
          <w:tcW w:w="3323" w:type="dxa"/>
        </w:tcPr>
        <w:sdt>
          <w:sdtPr>
            <w:rPr>
              <w:sz w:val="20"/>
              <w:szCs w:val="20"/>
              <w:lang w:val="en-CA"/>
            </w:rPr>
            <w:id w:val="-309874020"/>
            <w:docPartObj>
              <w:docPartGallery w:val="Page Numbers (Bottom of Page)"/>
              <w:docPartUnique/>
            </w:docPartObj>
          </w:sdtPr>
          <w:sdtEndPr/>
          <w:sdtContent>
            <w:p w14:paraId="63DADE41" w14:textId="77777777" w:rsidR="003E5EA1" w:rsidRPr="008F1E2C" w:rsidRDefault="003E5EA1" w:rsidP="00B75EE4">
              <w:pPr>
                <w:tabs>
                  <w:tab w:val="right" w:pos="3895"/>
                </w:tabs>
                <w:jc w:val="right"/>
                <w:rPr>
                  <w:sz w:val="20"/>
                  <w:szCs w:val="20"/>
                  <w:lang w:val="en-CA"/>
                </w:rPr>
              </w:pPr>
              <w:r>
                <w:rPr>
                  <w:sz w:val="18"/>
                  <w:szCs w:val="18"/>
                  <w:lang w:val="en-CA"/>
                </w:rPr>
                <w:t>Side</w:t>
              </w:r>
              <w:r w:rsidRPr="008F1E2C">
                <w:rPr>
                  <w:sz w:val="18"/>
                  <w:szCs w:val="18"/>
                  <w:lang w:val="en-CA"/>
                </w:rPr>
                <w:t xml:space="preserve"> </w:t>
              </w:r>
              <w:r w:rsidRPr="008F1E2C">
                <w:rPr>
                  <w:bCs/>
                  <w:sz w:val="18"/>
                  <w:szCs w:val="18"/>
                  <w:lang w:val="en-CA"/>
                </w:rPr>
                <w:fldChar w:fldCharType="begin"/>
              </w:r>
              <w:r w:rsidRPr="008F1E2C">
                <w:rPr>
                  <w:bCs/>
                  <w:sz w:val="18"/>
                  <w:szCs w:val="18"/>
                  <w:lang w:val="en-CA"/>
                </w:rPr>
                <w:instrText>PAGE</w:instrText>
              </w:r>
              <w:r w:rsidRPr="008F1E2C">
                <w:rPr>
                  <w:bCs/>
                  <w:sz w:val="18"/>
                  <w:szCs w:val="18"/>
                  <w:lang w:val="en-CA"/>
                </w:rPr>
                <w:fldChar w:fldCharType="separate"/>
              </w:r>
              <w:r w:rsidR="0005088B">
                <w:rPr>
                  <w:bCs/>
                  <w:noProof/>
                  <w:sz w:val="18"/>
                  <w:szCs w:val="18"/>
                  <w:lang w:val="en-CA"/>
                </w:rPr>
                <w:t>1</w:t>
              </w:r>
              <w:r w:rsidRPr="008F1E2C">
                <w:rPr>
                  <w:bCs/>
                  <w:sz w:val="18"/>
                  <w:szCs w:val="18"/>
                  <w:lang w:val="en-CA"/>
                </w:rPr>
                <w:fldChar w:fldCharType="end"/>
              </w:r>
              <w:r>
                <w:rPr>
                  <w:sz w:val="18"/>
                  <w:szCs w:val="18"/>
                  <w:lang w:val="en-CA"/>
                </w:rPr>
                <w:t xml:space="preserve"> av</w:t>
              </w:r>
              <w:r w:rsidRPr="008F1E2C">
                <w:rPr>
                  <w:sz w:val="18"/>
                  <w:szCs w:val="18"/>
                  <w:lang w:val="en-CA"/>
                </w:rPr>
                <w:t xml:space="preserve"> </w:t>
              </w:r>
              <w:r w:rsidRPr="008F1E2C">
                <w:rPr>
                  <w:bCs/>
                  <w:sz w:val="18"/>
                  <w:szCs w:val="18"/>
                  <w:lang w:val="en-CA"/>
                </w:rPr>
                <w:fldChar w:fldCharType="begin"/>
              </w:r>
              <w:r w:rsidRPr="008F1E2C">
                <w:rPr>
                  <w:bCs/>
                  <w:sz w:val="18"/>
                  <w:szCs w:val="18"/>
                  <w:lang w:val="en-CA"/>
                </w:rPr>
                <w:instrText>NUMPAGES</w:instrText>
              </w:r>
              <w:r w:rsidRPr="008F1E2C">
                <w:rPr>
                  <w:bCs/>
                  <w:sz w:val="18"/>
                  <w:szCs w:val="18"/>
                  <w:lang w:val="en-CA"/>
                </w:rPr>
                <w:fldChar w:fldCharType="separate"/>
              </w:r>
              <w:r w:rsidR="0005088B">
                <w:rPr>
                  <w:bCs/>
                  <w:noProof/>
                  <w:sz w:val="18"/>
                  <w:szCs w:val="18"/>
                  <w:lang w:val="en-CA"/>
                </w:rPr>
                <w:t>1</w:t>
              </w:r>
              <w:r w:rsidRPr="008F1E2C">
                <w:rPr>
                  <w:bCs/>
                  <w:sz w:val="18"/>
                  <w:szCs w:val="18"/>
                  <w:lang w:val="en-CA"/>
                </w:rPr>
                <w:fldChar w:fldCharType="end"/>
              </w:r>
            </w:p>
          </w:sdtContent>
        </w:sdt>
      </w:tc>
    </w:tr>
  </w:tbl>
  <w:p w14:paraId="6B6194FA" w14:textId="77777777" w:rsidR="003E5EA1" w:rsidRDefault="003E5EA1" w:rsidP="009D41ED">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75F69" w14:textId="77777777" w:rsidR="00C42280" w:rsidRDefault="00C4228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4C1DF" w14:textId="77777777" w:rsidR="00B17375" w:rsidRDefault="00B17375" w:rsidP="00B02E93">
      <w:pPr>
        <w:spacing w:after="0" w:line="240" w:lineRule="auto"/>
      </w:pPr>
      <w:r>
        <w:separator/>
      </w:r>
    </w:p>
  </w:footnote>
  <w:footnote w:type="continuationSeparator" w:id="0">
    <w:p w14:paraId="59F3CDA3" w14:textId="77777777" w:rsidR="00B17375" w:rsidRDefault="00B17375" w:rsidP="00B02E93">
      <w:pPr>
        <w:spacing w:after="0" w:line="240" w:lineRule="auto"/>
      </w:pPr>
      <w:r>
        <w:continuationSeparator/>
      </w:r>
    </w:p>
  </w:footnote>
  <w:footnote w:type="continuationNotice" w:id="1">
    <w:p w14:paraId="13589A35" w14:textId="77777777" w:rsidR="00B17375" w:rsidRDefault="00B173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8024A" w14:textId="77777777" w:rsidR="00C42280" w:rsidRDefault="00C4228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D6AD4" w14:textId="77777777" w:rsidR="003E5EA1" w:rsidRDefault="00C05870" w:rsidP="00C05870">
    <w:pPr>
      <w:tabs>
        <w:tab w:val="left" w:pos="5460"/>
      </w:tabs>
    </w:pPr>
    <w:r>
      <w:tab/>
    </w:r>
  </w:p>
  <w:tbl>
    <w:tblPr>
      <w:tblStyle w:val="Tabellrutenett"/>
      <w:tblW w:w="9356" w:type="dxa"/>
      <w:tblInd w:w="-34" w:type="dxa"/>
      <w:tblLook w:val="04A0" w:firstRow="1" w:lastRow="0" w:firstColumn="1" w:lastColumn="0" w:noHBand="0" w:noVBand="1"/>
    </w:tblPr>
    <w:tblGrid>
      <w:gridCol w:w="5954"/>
      <w:gridCol w:w="3402"/>
    </w:tblGrid>
    <w:tr w:rsidR="003E5EA1" w:rsidRPr="00052D1F" w14:paraId="2BCF8DF6" w14:textId="77777777" w:rsidTr="00B75EE4">
      <w:trPr>
        <w:trHeight w:val="854"/>
      </w:trPr>
      <w:tc>
        <w:tcPr>
          <w:tcW w:w="5954" w:type="dxa"/>
          <w:tcBorders>
            <w:top w:val="nil"/>
            <w:left w:val="nil"/>
            <w:right w:val="nil"/>
          </w:tcBorders>
        </w:tcPr>
        <w:p w14:paraId="76480B7F" w14:textId="77777777" w:rsidR="003E5EA1" w:rsidRPr="00052D1F" w:rsidRDefault="003E5EA1" w:rsidP="00231FF2">
          <w:pPr>
            <w:rPr>
              <w:b/>
              <w:sz w:val="18"/>
              <w:szCs w:val="18"/>
              <w:lang w:val="en-CA"/>
            </w:rPr>
          </w:pPr>
        </w:p>
        <w:p w14:paraId="44EE0817" w14:textId="77777777" w:rsidR="003E5EA1" w:rsidRPr="003E5EA1" w:rsidRDefault="003E5EA1" w:rsidP="00231FF2">
          <w:pPr>
            <w:tabs>
              <w:tab w:val="left" w:pos="2340"/>
            </w:tabs>
            <w:rPr>
              <w:sz w:val="36"/>
              <w:szCs w:val="36"/>
              <w:lang w:val="en-CA"/>
            </w:rPr>
          </w:pPr>
          <w:r>
            <w:rPr>
              <w:noProof/>
              <w:sz w:val="36"/>
              <w:szCs w:val="36"/>
              <w:lang w:val="en-CA"/>
            </w:rPr>
            <w:t>GL-DSE-2020-009 use of a KeyLock system for isolating a safety valve</w:t>
          </w:r>
        </w:p>
      </w:tc>
      <w:tc>
        <w:tcPr>
          <w:tcW w:w="3402" w:type="dxa"/>
          <w:tcBorders>
            <w:top w:val="nil"/>
            <w:left w:val="nil"/>
            <w:right w:val="nil"/>
          </w:tcBorders>
        </w:tcPr>
        <w:p w14:paraId="7AB9250E" w14:textId="77777777" w:rsidR="003E5EA1" w:rsidRPr="00052D1F" w:rsidRDefault="003E5EA1" w:rsidP="00231FF2">
          <w:pPr>
            <w:jc w:val="right"/>
            <w:rPr>
              <w:sz w:val="18"/>
              <w:szCs w:val="18"/>
              <w:lang w:val="en-CA"/>
            </w:rPr>
          </w:pPr>
          <w:r>
            <w:rPr>
              <w:noProof/>
              <w:sz w:val="18"/>
              <w:szCs w:val="18"/>
              <w:lang w:val="en-CA"/>
            </w:rPr>
            <w:drawing>
              <wp:inline distT="0" distB="0" distL="0" distR="0" wp14:anchorId="6AFAD87E" wp14:editId="34505A47">
                <wp:extent cx="1838325" cy="476250"/>
                <wp:effectExtent l="0" t="0" r="0" b="0"/>
                <wp:docPr id="18"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476250"/>
                        </a:xfrm>
                        <a:prstGeom prst="rect">
                          <a:avLst/>
                        </a:prstGeom>
                        <a:noFill/>
                        <a:ln>
                          <a:noFill/>
                        </a:ln>
                      </pic:spPr>
                    </pic:pic>
                  </a:graphicData>
                </a:graphic>
              </wp:inline>
            </w:drawing>
          </w:r>
        </w:p>
      </w:tc>
    </w:tr>
  </w:tbl>
  <w:p w14:paraId="5485E437" w14:textId="77777777" w:rsidR="003E5EA1" w:rsidRPr="00530B65" w:rsidRDefault="003E5EA1" w:rsidP="00530B65">
    <w:pPr>
      <w:pStyle w:val="Toppteks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0398D" w14:textId="77777777" w:rsidR="00C42280" w:rsidRDefault="00C4228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17E"/>
      </v:shape>
    </w:pict>
  </w:numPicBullet>
  <w:abstractNum w:abstractNumId="0" w15:restartNumberingAfterBreak="0">
    <w:nsid w:val="01275322"/>
    <w:multiLevelType w:val="hybridMultilevel"/>
    <w:tmpl w:val="2DAEDFC4"/>
    <w:lvl w:ilvl="0" w:tplc="B0AC395A">
      <w:start w:val="1"/>
      <w:numFmt w:val="bullet"/>
      <w:lvlText w:val="-"/>
      <w:lvlJc w:val="left"/>
      <w:pPr>
        <w:ind w:left="720" w:hanging="360"/>
      </w:pPr>
      <w:rPr>
        <w:rFonts w:ascii="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1927B83"/>
    <w:multiLevelType w:val="hybridMultilevel"/>
    <w:tmpl w:val="33A6E5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305131F"/>
    <w:multiLevelType w:val="hybridMultilevel"/>
    <w:tmpl w:val="677A2550"/>
    <w:lvl w:ilvl="0" w:tplc="C06EC8D4">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4387CB4"/>
    <w:multiLevelType w:val="hybridMultilevel"/>
    <w:tmpl w:val="D8BC4CD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4BE0F6F"/>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C937AA"/>
    <w:multiLevelType w:val="hybridMultilevel"/>
    <w:tmpl w:val="644E94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AEE068D"/>
    <w:multiLevelType w:val="hybridMultilevel"/>
    <w:tmpl w:val="4A60D51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D2A3D0D"/>
    <w:multiLevelType w:val="hybridMultilevel"/>
    <w:tmpl w:val="31BC6D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0F957296"/>
    <w:multiLevelType w:val="hybridMultilevel"/>
    <w:tmpl w:val="160E77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51A3731"/>
    <w:multiLevelType w:val="hybridMultilevel"/>
    <w:tmpl w:val="0D62B70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0" w15:restartNumberingAfterBreak="0">
    <w:nsid w:val="16E03C95"/>
    <w:multiLevelType w:val="hybridMultilevel"/>
    <w:tmpl w:val="B7D269C0"/>
    <w:lvl w:ilvl="0" w:tplc="C06EC8D4">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8633DB6"/>
    <w:multiLevelType w:val="hybridMultilevel"/>
    <w:tmpl w:val="5E428356"/>
    <w:lvl w:ilvl="0" w:tplc="04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CFC31F5"/>
    <w:multiLevelType w:val="hybridMultilevel"/>
    <w:tmpl w:val="6FB884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D776E69"/>
    <w:multiLevelType w:val="hybridMultilevel"/>
    <w:tmpl w:val="E9F4D4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3A758F3"/>
    <w:multiLevelType w:val="hybridMultilevel"/>
    <w:tmpl w:val="4A04FB74"/>
    <w:lvl w:ilvl="0" w:tplc="C06EC8D4">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6C6168A"/>
    <w:multiLevelType w:val="hybridMultilevel"/>
    <w:tmpl w:val="DC9E57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B0A21AF"/>
    <w:multiLevelType w:val="hybridMultilevel"/>
    <w:tmpl w:val="DB7483EE"/>
    <w:lvl w:ilvl="0" w:tplc="C06EC8D4">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E4178BC"/>
    <w:multiLevelType w:val="hybridMultilevel"/>
    <w:tmpl w:val="A7E2F9C0"/>
    <w:lvl w:ilvl="0" w:tplc="C06EC8D4">
      <w:start w:val="1"/>
      <w:numFmt w:val="bullet"/>
      <w:lvlText w:val="•"/>
      <w:lvlJc w:val="left"/>
      <w:pPr>
        <w:tabs>
          <w:tab w:val="num" w:pos="360"/>
        </w:tabs>
        <w:ind w:left="360" w:hanging="360"/>
      </w:pPr>
      <w:rPr>
        <w:rFonts w:ascii="Arial" w:hAnsi="Aria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3A0250F"/>
    <w:multiLevelType w:val="hybridMultilevel"/>
    <w:tmpl w:val="D98A1CC0"/>
    <w:lvl w:ilvl="0" w:tplc="04140007">
      <w:start w:val="1"/>
      <w:numFmt w:val="bullet"/>
      <w:lvlText w:val=""/>
      <w:lvlPicBulletId w:val="0"/>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3F97586"/>
    <w:multiLevelType w:val="hybridMultilevel"/>
    <w:tmpl w:val="C11E55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41E7CA5"/>
    <w:multiLevelType w:val="hybridMultilevel"/>
    <w:tmpl w:val="54442632"/>
    <w:lvl w:ilvl="0" w:tplc="B0AC395A">
      <w:start w:val="1"/>
      <w:numFmt w:val="bullet"/>
      <w:lvlText w:val="-"/>
      <w:lvlJc w:val="left"/>
      <w:pPr>
        <w:ind w:left="360" w:hanging="360"/>
      </w:pPr>
      <w:rPr>
        <w:rFonts w:ascii="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15:restartNumberingAfterBreak="0">
    <w:nsid w:val="44692CCD"/>
    <w:multiLevelType w:val="hybridMultilevel"/>
    <w:tmpl w:val="72BAAC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78B6A4F"/>
    <w:multiLevelType w:val="hybridMultilevel"/>
    <w:tmpl w:val="680E59B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49FF100F"/>
    <w:multiLevelType w:val="hybridMultilevel"/>
    <w:tmpl w:val="A5948D04"/>
    <w:lvl w:ilvl="0" w:tplc="B0AC395A">
      <w:start w:val="1"/>
      <w:numFmt w:val="bullet"/>
      <w:lvlText w:val="-"/>
      <w:lvlJc w:val="left"/>
      <w:pPr>
        <w:ind w:left="765" w:hanging="360"/>
      </w:pPr>
      <w:rPr>
        <w:rFonts w:ascii="Times New Roman" w:hAnsi="Times New Roman" w:cs="Times New Roman"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24" w15:restartNumberingAfterBreak="0">
    <w:nsid w:val="4B7E5B00"/>
    <w:multiLevelType w:val="hybridMultilevel"/>
    <w:tmpl w:val="991C54DE"/>
    <w:lvl w:ilvl="0" w:tplc="04140003">
      <w:start w:val="1"/>
      <w:numFmt w:val="bullet"/>
      <w:lvlText w:val="o"/>
      <w:lvlJc w:val="left"/>
      <w:pPr>
        <w:ind w:left="1068" w:hanging="360"/>
      </w:pPr>
      <w:rPr>
        <w:rFonts w:ascii="Courier New" w:hAnsi="Courier New" w:cs="Courier New"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5" w15:restartNumberingAfterBreak="0">
    <w:nsid w:val="50441667"/>
    <w:multiLevelType w:val="hybridMultilevel"/>
    <w:tmpl w:val="C6C2B552"/>
    <w:lvl w:ilvl="0" w:tplc="173CAFC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817430D"/>
    <w:multiLevelType w:val="hybridMultilevel"/>
    <w:tmpl w:val="32123F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9415678"/>
    <w:multiLevelType w:val="hybridMultilevel"/>
    <w:tmpl w:val="85B4BF44"/>
    <w:lvl w:ilvl="0" w:tplc="04140007">
      <w:start w:val="1"/>
      <w:numFmt w:val="bullet"/>
      <w:lvlText w:val=""/>
      <w:lvlPicBulletId w:val="0"/>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3E5254C"/>
    <w:multiLevelType w:val="hybridMultilevel"/>
    <w:tmpl w:val="2DFA40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4945733"/>
    <w:multiLevelType w:val="hybridMultilevel"/>
    <w:tmpl w:val="218690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5233A30"/>
    <w:multiLevelType w:val="hybridMultilevel"/>
    <w:tmpl w:val="1AF81C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6B85AE4"/>
    <w:multiLevelType w:val="hybridMultilevel"/>
    <w:tmpl w:val="70002F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A0A4270"/>
    <w:multiLevelType w:val="hybridMultilevel"/>
    <w:tmpl w:val="E8A812D4"/>
    <w:lvl w:ilvl="0" w:tplc="B0AC395A">
      <w:start w:val="1"/>
      <w:numFmt w:val="bullet"/>
      <w:lvlText w:val="-"/>
      <w:lvlJc w:val="left"/>
      <w:pPr>
        <w:ind w:left="360" w:hanging="360"/>
      </w:pPr>
      <w:rPr>
        <w:rFonts w:ascii="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3" w15:restartNumberingAfterBreak="0">
    <w:nsid w:val="6EF61ABC"/>
    <w:multiLevelType w:val="hybridMultilevel"/>
    <w:tmpl w:val="91E6B25C"/>
    <w:lvl w:ilvl="0" w:tplc="CB4A8EC4">
      <w:start w:val="25"/>
      <w:numFmt w:val="bullet"/>
      <w:lvlText w:val="-"/>
      <w:lvlJc w:val="left"/>
      <w:pPr>
        <w:ind w:left="720" w:hanging="360"/>
      </w:pPr>
      <w:rPr>
        <w:rFonts w:ascii="Calibri" w:eastAsia="Droid Sans"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F5605CA"/>
    <w:multiLevelType w:val="multilevel"/>
    <w:tmpl w:val="AB4E843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color w:val="1F497D" w:themeColor="text2"/>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40D65D6"/>
    <w:multiLevelType w:val="hybridMultilevel"/>
    <w:tmpl w:val="41801778"/>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6" w15:restartNumberingAfterBreak="0">
    <w:nsid w:val="74BF2667"/>
    <w:multiLevelType w:val="hybridMultilevel"/>
    <w:tmpl w:val="EA7E9ADC"/>
    <w:lvl w:ilvl="0" w:tplc="C06EC8D4">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B856916"/>
    <w:multiLevelType w:val="hybridMultilevel"/>
    <w:tmpl w:val="5D96C1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DA15DFE"/>
    <w:multiLevelType w:val="hybridMultilevel"/>
    <w:tmpl w:val="834C6D72"/>
    <w:lvl w:ilvl="0" w:tplc="C06EC8D4">
      <w:start w:val="1"/>
      <w:numFmt w:val="bullet"/>
      <w:lvlText w:val="•"/>
      <w:lvlJc w:val="left"/>
      <w:pPr>
        <w:ind w:left="360" w:hanging="360"/>
      </w:pPr>
      <w:rPr>
        <w:rFonts w:ascii="Arial" w:hAnsi="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9" w15:restartNumberingAfterBreak="0">
    <w:nsid w:val="7EC811F4"/>
    <w:multiLevelType w:val="hybridMultilevel"/>
    <w:tmpl w:val="C15ED4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530534610">
    <w:abstractNumId w:val="22"/>
  </w:num>
  <w:num w:numId="2" w16cid:durableId="1031958130">
    <w:abstractNumId w:val="29"/>
  </w:num>
  <w:num w:numId="3" w16cid:durableId="2088840625">
    <w:abstractNumId w:val="12"/>
  </w:num>
  <w:num w:numId="4" w16cid:durableId="1394698073">
    <w:abstractNumId w:val="1"/>
  </w:num>
  <w:num w:numId="5" w16cid:durableId="54668115">
    <w:abstractNumId w:val="17"/>
  </w:num>
  <w:num w:numId="6" w16cid:durableId="867570398">
    <w:abstractNumId w:val="38"/>
  </w:num>
  <w:num w:numId="7" w16cid:durableId="780956646">
    <w:abstractNumId w:val="4"/>
  </w:num>
  <w:num w:numId="8" w16cid:durableId="1471098026">
    <w:abstractNumId w:val="2"/>
  </w:num>
  <w:num w:numId="9" w16cid:durableId="753168028">
    <w:abstractNumId w:val="10"/>
  </w:num>
  <w:num w:numId="10" w16cid:durableId="91358196">
    <w:abstractNumId w:val="16"/>
  </w:num>
  <w:num w:numId="11" w16cid:durableId="505561709">
    <w:abstractNumId w:val="14"/>
  </w:num>
  <w:num w:numId="12" w16cid:durableId="1429616964">
    <w:abstractNumId w:val="36"/>
  </w:num>
  <w:num w:numId="13" w16cid:durableId="1665427038">
    <w:abstractNumId w:val="30"/>
  </w:num>
  <w:num w:numId="14" w16cid:durableId="101725625">
    <w:abstractNumId w:val="31"/>
  </w:num>
  <w:num w:numId="15" w16cid:durableId="827134945">
    <w:abstractNumId w:val="26"/>
  </w:num>
  <w:num w:numId="16" w16cid:durableId="1612712277">
    <w:abstractNumId w:val="39"/>
  </w:num>
  <w:num w:numId="17" w16cid:durableId="1899320309">
    <w:abstractNumId w:val="7"/>
  </w:num>
  <w:num w:numId="18" w16cid:durableId="1897273187">
    <w:abstractNumId w:val="19"/>
  </w:num>
  <w:num w:numId="19" w16cid:durableId="665287826">
    <w:abstractNumId w:val="8"/>
  </w:num>
  <w:num w:numId="20" w16cid:durableId="1140534137">
    <w:abstractNumId w:val="28"/>
  </w:num>
  <w:num w:numId="21" w16cid:durableId="1703439653">
    <w:abstractNumId w:val="13"/>
  </w:num>
  <w:num w:numId="22" w16cid:durableId="610667718">
    <w:abstractNumId w:val="5"/>
  </w:num>
  <w:num w:numId="23" w16cid:durableId="1081633967">
    <w:abstractNumId w:val="15"/>
  </w:num>
  <w:num w:numId="24" w16cid:durableId="1737362763">
    <w:abstractNumId w:val="37"/>
  </w:num>
  <w:num w:numId="25" w16cid:durableId="2124961591">
    <w:abstractNumId w:val="32"/>
  </w:num>
  <w:num w:numId="26" w16cid:durableId="1207064511">
    <w:abstractNumId w:val="23"/>
  </w:num>
  <w:num w:numId="27" w16cid:durableId="760373093">
    <w:abstractNumId w:val="20"/>
  </w:num>
  <w:num w:numId="28" w16cid:durableId="1305044591">
    <w:abstractNumId w:val="0"/>
  </w:num>
  <w:num w:numId="29" w16cid:durableId="623313484">
    <w:abstractNumId w:val="27"/>
  </w:num>
  <w:num w:numId="30" w16cid:durableId="2084064305">
    <w:abstractNumId w:val="18"/>
  </w:num>
  <w:num w:numId="31" w16cid:durableId="361827040">
    <w:abstractNumId w:val="21"/>
  </w:num>
  <w:num w:numId="32" w16cid:durableId="1636985704">
    <w:abstractNumId w:val="24"/>
  </w:num>
  <w:num w:numId="33" w16cid:durableId="984772592">
    <w:abstractNumId w:val="9"/>
  </w:num>
  <w:num w:numId="34" w16cid:durableId="1056664919">
    <w:abstractNumId w:val="11"/>
  </w:num>
  <w:num w:numId="35" w16cid:durableId="78867382">
    <w:abstractNumId w:val="34"/>
  </w:num>
  <w:num w:numId="36" w16cid:durableId="1928078698">
    <w:abstractNumId w:val="6"/>
  </w:num>
  <w:num w:numId="37" w16cid:durableId="1162351637">
    <w:abstractNumId w:val="35"/>
  </w:num>
  <w:num w:numId="38" w16cid:durableId="946159039">
    <w:abstractNumId w:val="25"/>
  </w:num>
  <w:num w:numId="39" w16cid:durableId="2088308261">
    <w:abstractNumId w:val="3"/>
  </w:num>
  <w:num w:numId="40" w16cid:durableId="79541453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E93"/>
    <w:rsid w:val="00001756"/>
    <w:rsid w:val="0005088B"/>
    <w:rsid w:val="00085524"/>
    <w:rsid w:val="00090EDE"/>
    <w:rsid w:val="000B5F7A"/>
    <w:rsid w:val="000C0F99"/>
    <w:rsid w:val="000C1D34"/>
    <w:rsid w:val="000C638E"/>
    <w:rsid w:val="000F4D73"/>
    <w:rsid w:val="001007FE"/>
    <w:rsid w:val="001350FD"/>
    <w:rsid w:val="0015251E"/>
    <w:rsid w:val="00154291"/>
    <w:rsid w:val="001647D1"/>
    <w:rsid w:val="001742C7"/>
    <w:rsid w:val="001D5856"/>
    <w:rsid w:val="00200921"/>
    <w:rsid w:val="00220A18"/>
    <w:rsid w:val="00231FF2"/>
    <w:rsid w:val="00243A94"/>
    <w:rsid w:val="002446AB"/>
    <w:rsid w:val="00252B5C"/>
    <w:rsid w:val="00253456"/>
    <w:rsid w:val="002920E0"/>
    <w:rsid w:val="002A1AF4"/>
    <w:rsid w:val="002A37BD"/>
    <w:rsid w:val="002D36D1"/>
    <w:rsid w:val="002D5978"/>
    <w:rsid w:val="002E4A22"/>
    <w:rsid w:val="002E672A"/>
    <w:rsid w:val="0030590A"/>
    <w:rsid w:val="003724E5"/>
    <w:rsid w:val="00377808"/>
    <w:rsid w:val="0039065D"/>
    <w:rsid w:val="003A4863"/>
    <w:rsid w:val="003B0AAB"/>
    <w:rsid w:val="003C54B9"/>
    <w:rsid w:val="003E5EA1"/>
    <w:rsid w:val="003E78B1"/>
    <w:rsid w:val="003F27E5"/>
    <w:rsid w:val="00411B49"/>
    <w:rsid w:val="004275F6"/>
    <w:rsid w:val="004417E5"/>
    <w:rsid w:val="00453D43"/>
    <w:rsid w:val="004F74A8"/>
    <w:rsid w:val="00510705"/>
    <w:rsid w:val="00525E89"/>
    <w:rsid w:val="00526849"/>
    <w:rsid w:val="00530B65"/>
    <w:rsid w:val="00564395"/>
    <w:rsid w:val="005829A4"/>
    <w:rsid w:val="00586707"/>
    <w:rsid w:val="005B76FA"/>
    <w:rsid w:val="005E3751"/>
    <w:rsid w:val="005F679D"/>
    <w:rsid w:val="0064032A"/>
    <w:rsid w:val="00641F73"/>
    <w:rsid w:val="00656463"/>
    <w:rsid w:val="00665324"/>
    <w:rsid w:val="00676BC4"/>
    <w:rsid w:val="006E054D"/>
    <w:rsid w:val="00711F60"/>
    <w:rsid w:val="007A1243"/>
    <w:rsid w:val="00810892"/>
    <w:rsid w:val="00890187"/>
    <w:rsid w:val="00890E28"/>
    <w:rsid w:val="008E5A91"/>
    <w:rsid w:val="008E6AB1"/>
    <w:rsid w:val="009033C5"/>
    <w:rsid w:val="00920F83"/>
    <w:rsid w:val="00926783"/>
    <w:rsid w:val="009407EA"/>
    <w:rsid w:val="0096599E"/>
    <w:rsid w:val="00966A4C"/>
    <w:rsid w:val="009938C7"/>
    <w:rsid w:val="00997F52"/>
    <w:rsid w:val="009A629F"/>
    <w:rsid w:val="009D41ED"/>
    <w:rsid w:val="009D6C62"/>
    <w:rsid w:val="009D7B6E"/>
    <w:rsid w:val="009E52E3"/>
    <w:rsid w:val="009F5AE6"/>
    <w:rsid w:val="00A0054A"/>
    <w:rsid w:val="00A15128"/>
    <w:rsid w:val="00A319BC"/>
    <w:rsid w:val="00A859C3"/>
    <w:rsid w:val="00A918B8"/>
    <w:rsid w:val="00AC2DD1"/>
    <w:rsid w:val="00B02E93"/>
    <w:rsid w:val="00B17375"/>
    <w:rsid w:val="00B4310A"/>
    <w:rsid w:val="00B43393"/>
    <w:rsid w:val="00B5447D"/>
    <w:rsid w:val="00B5748D"/>
    <w:rsid w:val="00B75EE4"/>
    <w:rsid w:val="00BA50EE"/>
    <w:rsid w:val="00BA5469"/>
    <w:rsid w:val="00BB1E01"/>
    <w:rsid w:val="00BC0ADC"/>
    <w:rsid w:val="00BD058A"/>
    <w:rsid w:val="00C019B6"/>
    <w:rsid w:val="00C05870"/>
    <w:rsid w:val="00C0778C"/>
    <w:rsid w:val="00C240F4"/>
    <w:rsid w:val="00C374F5"/>
    <w:rsid w:val="00C42280"/>
    <w:rsid w:val="00CA1AC0"/>
    <w:rsid w:val="00CA55B2"/>
    <w:rsid w:val="00CD2A99"/>
    <w:rsid w:val="00CF4F2F"/>
    <w:rsid w:val="00CF5CF9"/>
    <w:rsid w:val="00D05640"/>
    <w:rsid w:val="00D11196"/>
    <w:rsid w:val="00D36485"/>
    <w:rsid w:val="00DA6586"/>
    <w:rsid w:val="00DC4434"/>
    <w:rsid w:val="00E0320B"/>
    <w:rsid w:val="00E210BE"/>
    <w:rsid w:val="00E32220"/>
    <w:rsid w:val="00E36CC1"/>
    <w:rsid w:val="00E43C48"/>
    <w:rsid w:val="00E668BA"/>
    <w:rsid w:val="00EE3ADF"/>
    <w:rsid w:val="00F11727"/>
    <w:rsid w:val="00F16E01"/>
    <w:rsid w:val="00F21C99"/>
    <w:rsid w:val="00F45963"/>
    <w:rsid w:val="00FA2339"/>
    <w:rsid w:val="00FA5C43"/>
    <w:rsid w:val="00FA62BF"/>
    <w:rsid w:val="00FD197E"/>
    <w:rsid w:val="00FE1A7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FF82E"/>
  <w15:docId w15:val="{72A44CCB-8279-46EF-978D-5331A3D08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25E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525E8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9">
    <w:name w:val="heading 9"/>
    <w:basedOn w:val="Normal"/>
    <w:next w:val="Normal"/>
    <w:link w:val="Overskrift9Tegn"/>
    <w:qFormat/>
    <w:rsid w:val="00FD197E"/>
    <w:pPr>
      <w:keepNext/>
      <w:tabs>
        <w:tab w:val="num" w:pos="0"/>
      </w:tabs>
      <w:spacing w:after="0" w:line="240" w:lineRule="auto"/>
      <w:outlineLvl w:val="8"/>
    </w:pPr>
    <w:rPr>
      <w:rFonts w:ascii="Arial" w:eastAsia="Times New Roman" w:hAnsi="Arial" w:cs="Times New Roman"/>
      <w:b/>
      <w:bCs/>
      <w:sz w:val="24"/>
      <w:szCs w:val="24"/>
      <w:lang w:val="en-GB"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B02E9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02E93"/>
    <w:rPr>
      <w:rFonts w:ascii="Tahoma" w:hAnsi="Tahoma" w:cs="Tahoma"/>
      <w:sz w:val="16"/>
      <w:szCs w:val="16"/>
    </w:rPr>
  </w:style>
  <w:style w:type="paragraph" w:styleId="Topptekst">
    <w:name w:val="header"/>
    <w:basedOn w:val="Normal"/>
    <w:link w:val="TopptekstTegn"/>
    <w:uiPriority w:val="99"/>
    <w:unhideWhenUsed/>
    <w:rsid w:val="00B02E9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02E93"/>
  </w:style>
  <w:style w:type="paragraph" w:styleId="Bunntekst">
    <w:name w:val="footer"/>
    <w:basedOn w:val="Normal"/>
    <w:link w:val="BunntekstTegn"/>
    <w:uiPriority w:val="99"/>
    <w:unhideWhenUsed/>
    <w:rsid w:val="00B02E9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02E93"/>
  </w:style>
  <w:style w:type="table" w:styleId="Tabellrutenett">
    <w:name w:val="Table Grid"/>
    <w:basedOn w:val="Vanligtabell"/>
    <w:uiPriority w:val="39"/>
    <w:rsid w:val="00530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530B65"/>
    <w:pPr>
      <w:ind w:left="720"/>
      <w:contextualSpacing/>
    </w:pPr>
  </w:style>
  <w:style w:type="character" w:customStyle="1" w:styleId="Overskrift9Tegn">
    <w:name w:val="Overskrift 9 Tegn"/>
    <w:basedOn w:val="Standardskriftforavsnitt"/>
    <w:link w:val="Overskrift9"/>
    <w:rsid w:val="00FD197E"/>
    <w:rPr>
      <w:rFonts w:ascii="Arial" w:eastAsia="Times New Roman" w:hAnsi="Arial" w:cs="Times New Roman"/>
      <w:b/>
      <w:bCs/>
      <w:sz w:val="24"/>
      <w:szCs w:val="24"/>
      <w:lang w:val="en-GB" w:eastAsia="nb-NO"/>
    </w:rPr>
  </w:style>
  <w:style w:type="character" w:customStyle="1" w:styleId="Overskrift1Tegn">
    <w:name w:val="Overskrift 1 Tegn"/>
    <w:basedOn w:val="Standardskriftforavsnitt"/>
    <w:link w:val="Overskrift1"/>
    <w:uiPriority w:val="9"/>
    <w:rsid w:val="00525E89"/>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foravsnitt"/>
    <w:link w:val="Overskrift2"/>
    <w:uiPriority w:val="9"/>
    <w:rsid w:val="00525E89"/>
    <w:rPr>
      <w:rFonts w:asciiTheme="majorHAnsi" w:eastAsiaTheme="majorEastAsia" w:hAnsiTheme="majorHAnsi" w:cstheme="majorBidi"/>
      <w:color w:val="365F91" w:themeColor="accent1" w:themeShade="BF"/>
      <w:sz w:val="26"/>
      <w:szCs w:val="26"/>
    </w:rPr>
  </w:style>
  <w:style w:type="paragraph" w:styleId="Tittel">
    <w:name w:val="Title"/>
    <w:basedOn w:val="Overskrift1"/>
    <w:next w:val="Normal"/>
    <w:link w:val="TittelTegn"/>
    <w:uiPriority w:val="10"/>
    <w:qFormat/>
    <w:rsid w:val="00C0778C"/>
    <w:pPr>
      <w:keepNext w:val="0"/>
      <w:keepLines w:val="0"/>
      <w:spacing w:before="0" w:after="240" w:line="240" w:lineRule="auto"/>
    </w:pPr>
    <w:rPr>
      <w:rFonts w:asciiTheme="minorHAnsi" w:eastAsia="Times New Roman" w:hAnsiTheme="minorHAnsi" w:cstheme="minorHAnsi"/>
      <w:b/>
      <w:noProof/>
      <w:color w:val="auto"/>
      <w:sz w:val="36"/>
      <w:szCs w:val="22"/>
      <w:lang w:eastAsia="nb-NO"/>
    </w:rPr>
  </w:style>
  <w:style w:type="character" w:customStyle="1" w:styleId="TittelTegn">
    <w:name w:val="Tittel Tegn"/>
    <w:basedOn w:val="Standardskriftforavsnitt"/>
    <w:link w:val="Tittel"/>
    <w:uiPriority w:val="10"/>
    <w:rsid w:val="00C0778C"/>
    <w:rPr>
      <w:rFonts w:eastAsia="Times New Roman" w:cstheme="minorHAnsi"/>
      <w:b/>
      <w:noProof/>
      <w:sz w:val="36"/>
      <w:lang w:eastAsia="nb-NO"/>
    </w:rPr>
  </w:style>
  <w:style w:type="table" w:customStyle="1" w:styleId="Tabellrutenett1">
    <w:name w:val="Tabellrutenett1"/>
    <w:basedOn w:val="Vanligtabell"/>
    <w:next w:val="Tabellrutenett"/>
    <w:uiPriority w:val="59"/>
    <w:rsid w:val="006E054D"/>
    <w:pPr>
      <w:spacing w:after="0" w:line="240" w:lineRule="auto"/>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tittel">
    <w:name w:val="Subtitle"/>
    <w:aliases w:val="Dovre title page subtitle"/>
    <w:basedOn w:val="Normal"/>
    <w:next w:val="Normal"/>
    <w:link w:val="UndertittelTegn"/>
    <w:uiPriority w:val="11"/>
    <w:qFormat/>
    <w:rsid w:val="00DC4434"/>
    <w:pPr>
      <w:widowControl w:val="0"/>
      <w:numPr>
        <w:ilvl w:val="1"/>
      </w:numPr>
      <w:suppressAutoHyphens/>
      <w:autoSpaceDN w:val="0"/>
      <w:spacing w:after="160" w:line="240" w:lineRule="auto"/>
      <w:jc w:val="center"/>
      <w:textAlignment w:val="baseline"/>
    </w:pPr>
    <w:rPr>
      <w:rFonts w:ascii="Calibri" w:eastAsiaTheme="minorEastAsia" w:hAnsi="Calibri" w:cs="Calibri"/>
      <w:b/>
      <w:color w:val="000000" w:themeColor="text1"/>
      <w:spacing w:val="15"/>
      <w:kern w:val="3"/>
      <w:sz w:val="24"/>
    </w:rPr>
  </w:style>
  <w:style w:type="character" w:customStyle="1" w:styleId="UndertittelTegn">
    <w:name w:val="Undertittel Tegn"/>
    <w:aliases w:val="Dovre title page subtitle Tegn"/>
    <w:basedOn w:val="Standardskriftforavsnitt"/>
    <w:link w:val="Undertittel"/>
    <w:uiPriority w:val="11"/>
    <w:rsid w:val="00DC4434"/>
    <w:rPr>
      <w:rFonts w:ascii="Calibri" w:eastAsiaTheme="minorEastAsia" w:hAnsi="Calibri" w:cs="Calibri"/>
      <w:b/>
      <w:color w:val="000000" w:themeColor="text1"/>
      <w:spacing w:val="15"/>
      <w:kern w:val="3"/>
      <w:sz w:val="24"/>
    </w:rPr>
  </w:style>
  <w:style w:type="paragraph" w:customStyle="1" w:styleId="Textfrontpage">
    <w:name w:val="Text front page"/>
    <w:basedOn w:val="Tittel"/>
    <w:link w:val="TextfrontpageTegn"/>
    <w:rsid w:val="00DC4434"/>
    <w:pPr>
      <w:keepNext/>
      <w:widowControl w:val="0"/>
      <w:suppressAutoHyphens/>
      <w:autoSpaceDN w:val="0"/>
      <w:spacing w:before="240" w:after="120"/>
      <w:jc w:val="center"/>
      <w:textAlignment w:val="baseline"/>
      <w:outlineLvl w:val="9"/>
    </w:pPr>
    <w:rPr>
      <w:rFonts w:ascii="Calibri" w:eastAsia="Ubuntu" w:hAnsi="Calibri"/>
      <w:bCs/>
      <w:noProof w:val="0"/>
      <w:kern w:val="3"/>
      <w:sz w:val="56"/>
      <w:szCs w:val="56"/>
      <w:lang w:val="en-GB" w:eastAsia="en-US"/>
    </w:rPr>
  </w:style>
  <w:style w:type="character" w:customStyle="1" w:styleId="TextfrontpageTegn">
    <w:name w:val="Text front page Tegn"/>
    <w:basedOn w:val="Standardskriftforavsnitt"/>
    <w:link w:val="Textfrontpage"/>
    <w:rsid w:val="00DC4434"/>
    <w:rPr>
      <w:rFonts w:ascii="Calibri" w:eastAsia="Ubuntu" w:hAnsi="Calibri" w:cstheme="minorHAnsi"/>
      <w:b/>
      <w:bCs/>
      <w:kern w:val="3"/>
      <w:sz w:val="56"/>
      <w:szCs w:val="56"/>
      <w:lang w:val="en-GB"/>
    </w:rPr>
  </w:style>
  <w:style w:type="character" w:styleId="Hyperkobling">
    <w:name w:val="Hyperlink"/>
    <w:basedOn w:val="Standardskriftforavsnitt"/>
    <w:uiPriority w:val="99"/>
    <w:rsid w:val="00DC4434"/>
    <w:rPr>
      <w:color w:val="0563C1"/>
      <w:u w:val="single"/>
    </w:rPr>
  </w:style>
  <w:style w:type="paragraph" w:customStyle="1" w:styleId="Standard">
    <w:name w:val="Standard"/>
    <w:link w:val="StandardTegn"/>
    <w:rsid w:val="00DC4434"/>
    <w:pPr>
      <w:suppressAutoHyphens/>
      <w:autoSpaceDN w:val="0"/>
      <w:spacing w:after="160" w:line="240" w:lineRule="auto"/>
      <w:textAlignment w:val="baseline"/>
    </w:pPr>
    <w:rPr>
      <w:rFonts w:ascii="Ubuntu" w:eastAsia="Ubuntu" w:hAnsi="Ubuntu" w:cs="Ubuntu"/>
      <w:kern w:val="3"/>
    </w:rPr>
  </w:style>
  <w:style w:type="paragraph" w:styleId="INNH1">
    <w:name w:val="toc 1"/>
    <w:basedOn w:val="Normal"/>
    <w:next w:val="Normal"/>
    <w:autoRedefine/>
    <w:uiPriority w:val="39"/>
    <w:rsid w:val="00DC4434"/>
    <w:pPr>
      <w:widowControl w:val="0"/>
      <w:tabs>
        <w:tab w:val="left" w:pos="440"/>
        <w:tab w:val="right" w:leader="dot" w:pos="9062"/>
      </w:tabs>
      <w:suppressAutoHyphens/>
      <w:autoSpaceDN w:val="0"/>
      <w:spacing w:after="100" w:line="240" w:lineRule="auto"/>
      <w:textAlignment w:val="baseline"/>
    </w:pPr>
    <w:rPr>
      <w:rFonts w:ascii="Calibri" w:eastAsia="Droid Sans" w:hAnsi="Calibri" w:cs="Calibri"/>
      <w:kern w:val="3"/>
    </w:rPr>
  </w:style>
  <w:style w:type="character" w:styleId="Sterkreferanse">
    <w:name w:val="Intense Reference"/>
    <w:aliases w:val="Sterk referanse Racime"/>
    <w:basedOn w:val="Standardskriftforavsnitt"/>
    <w:uiPriority w:val="32"/>
    <w:rsid w:val="00DC4434"/>
    <w:rPr>
      <w:rFonts w:asciiTheme="minorHAnsi" w:hAnsiTheme="minorHAnsi"/>
      <w:b/>
      <w:bCs/>
      <w:smallCaps/>
      <w:color w:val="4F81BD" w:themeColor="accent1"/>
      <w:spacing w:val="5"/>
      <w:sz w:val="40"/>
    </w:rPr>
  </w:style>
  <w:style w:type="paragraph" w:customStyle="1" w:styleId="Textrevision">
    <w:name w:val="Text revision"/>
    <w:basedOn w:val="Standard"/>
    <w:link w:val="TextrevisionTegn"/>
    <w:qFormat/>
    <w:rsid w:val="00DC4434"/>
    <w:rPr>
      <w:rFonts w:ascii="Calibri" w:hAnsi="Calibri" w:cstheme="minorHAnsi"/>
      <w:sz w:val="20"/>
      <w:lang w:val="en-GB"/>
    </w:rPr>
  </w:style>
  <w:style w:type="character" w:customStyle="1" w:styleId="StandardTegn">
    <w:name w:val="Standard Tegn"/>
    <w:basedOn w:val="Standardskriftforavsnitt"/>
    <w:link w:val="Standard"/>
    <w:rsid w:val="00DC4434"/>
    <w:rPr>
      <w:rFonts w:ascii="Ubuntu" w:eastAsia="Ubuntu" w:hAnsi="Ubuntu" w:cs="Ubuntu"/>
      <w:kern w:val="3"/>
    </w:rPr>
  </w:style>
  <w:style w:type="paragraph" w:customStyle="1" w:styleId="Textrevisionmain">
    <w:name w:val="Text revision main"/>
    <w:basedOn w:val="Standard"/>
    <w:link w:val="TextrevisionmainTegn"/>
    <w:qFormat/>
    <w:rsid w:val="00DC4434"/>
    <w:rPr>
      <w:rFonts w:ascii="Calibri" w:hAnsi="Calibri" w:cstheme="minorHAnsi"/>
      <w:b/>
      <w:lang w:val="en-GB"/>
    </w:rPr>
  </w:style>
  <w:style w:type="character" w:customStyle="1" w:styleId="TextrevisionTegn">
    <w:name w:val="Text revision Tegn"/>
    <w:basedOn w:val="StandardTegn"/>
    <w:link w:val="Textrevision"/>
    <w:rsid w:val="00DC4434"/>
    <w:rPr>
      <w:rFonts w:ascii="Calibri" w:eastAsia="Ubuntu" w:hAnsi="Calibri" w:cstheme="minorHAnsi"/>
      <w:kern w:val="3"/>
      <w:sz w:val="20"/>
      <w:lang w:val="en-GB"/>
    </w:rPr>
  </w:style>
  <w:style w:type="character" w:customStyle="1" w:styleId="TextrevisionmainTegn">
    <w:name w:val="Text revision main Tegn"/>
    <w:basedOn w:val="StandardTegn"/>
    <w:link w:val="Textrevisionmain"/>
    <w:rsid w:val="00DC4434"/>
    <w:rPr>
      <w:rFonts w:ascii="Calibri" w:eastAsia="Ubuntu" w:hAnsi="Calibri" w:cstheme="minorHAnsi"/>
      <w:b/>
      <w:kern w:val="3"/>
      <w:lang w:val="en-GB"/>
    </w:rPr>
  </w:style>
  <w:style w:type="paragraph" w:customStyle="1" w:styleId="Maintext">
    <w:name w:val="Main text"/>
    <w:basedOn w:val="Normal"/>
    <w:link w:val="MaintextTegn"/>
    <w:qFormat/>
    <w:rsid w:val="00DC4434"/>
    <w:pPr>
      <w:autoSpaceDE w:val="0"/>
      <w:autoSpaceDN w:val="0"/>
      <w:adjustRightInd w:val="0"/>
      <w:spacing w:after="0" w:line="240" w:lineRule="auto"/>
    </w:pPr>
    <w:rPr>
      <w:rFonts w:ascii="Calibri" w:eastAsia="Droid Sans" w:hAnsi="Calibri" w:cs="Calibri"/>
      <w:kern w:val="3"/>
      <w:lang w:val="en-GB"/>
    </w:rPr>
  </w:style>
  <w:style w:type="character" w:customStyle="1" w:styleId="MaintextTegn">
    <w:name w:val="Main text Tegn"/>
    <w:basedOn w:val="Standardskriftforavsnitt"/>
    <w:link w:val="Maintext"/>
    <w:rsid w:val="00DC4434"/>
    <w:rPr>
      <w:rFonts w:ascii="Calibri" w:eastAsia="Droid Sans" w:hAnsi="Calibri" w:cs="Calibri"/>
      <w:kern w:val="3"/>
      <w:lang w:val="en-GB"/>
    </w:rPr>
  </w:style>
  <w:style w:type="paragraph" w:styleId="Overskriftforinnholdsfortegnelse">
    <w:name w:val="TOC Heading"/>
    <w:basedOn w:val="Overskrift1"/>
    <w:next w:val="Normal"/>
    <w:uiPriority w:val="39"/>
    <w:unhideWhenUsed/>
    <w:rsid w:val="00DC4434"/>
    <w:pPr>
      <w:spacing w:line="259" w:lineRule="auto"/>
      <w:outlineLvl w:val="9"/>
    </w:pPr>
    <w:rPr>
      <w:rFonts w:ascii="Calibri" w:hAnsi="Calibri"/>
      <w:lang w:eastAsia="nb-NO"/>
    </w:rPr>
  </w:style>
  <w:style w:type="paragraph" w:styleId="Bildetekst">
    <w:name w:val="caption"/>
    <w:basedOn w:val="Normal"/>
    <w:next w:val="Normal"/>
    <w:uiPriority w:val="35"/>
    <w:unhideWhenUsed/>
    <w:qFormat/>
    <w:rsid w:val="00DC4434"/>
    <w:pPr>
      <w:widowControl w:val="0"/>
      <w:suppressAutoHyphens/>
      <w:autoSpaceDN w:val="0"/>
      <w:spacing w:line="240" w:lineRule="auto"/>
      <w:textAlignment w:val="baseline"/>
    </w:pPr>
    <w:rPr>
      <w:rFonts w:ascii="Arial" w:eastAsia="Droid Sans" w:hAnsi="Arial" w:cs="Calibri"/>
      <w:i/>
      <w:iCs/>
      <w:color w:val="1F497D" w:themeColor="text2"/>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70137-E8CC-492E-A447-934EBD120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931</Words>
  <Characters>4940</Characters>
  <Application>Microsoft Office Word</Application>
  <DocSecurity>4</DocSecurity>
  <Lines>41</Lines>
  <Paragraphs>11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TeleComputing</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Hagen</dc:creator>
  <cp:keywords/>
  <dc:description/>
  <cp:lastModifiedBy>Lydia Vedvik</cp:lastModifiedBy>
  <cp:revision>2</cp:revision>
  <cp:lastPrinted>2014-04-04T07:52:00Z</cp:lastPrinted>
  <dcterms:created xsi:type="dcterms:W3CDTF">2024-08-22T13:51:00Z</dcterms:created>
  <dcterms:modified xsi:type="dcterms:W3CDTF">2024-08-22T13:51:00Z</dcterms:modified>
</cp:coreProperties>
</file>